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0505" w14:textId="77777777" w:rsidR="00B510D8" w:rsidRPr="00D16CA4" w:rsidRDefault="001B603A" w:rsidP="00CC089B">
      <w:pPr>
        <w:pStyle w:val="prastasis"/>
        <w:spacing w:after="120"/>
        <w:jc w:val="center"/>
        <w:rPr>
          <w:rFonts w:ascii="Arial" w:hAnsi="Arial" w:cs="Arial"/>
          <w:b/>
          <w:bCs/>
          <w:sz w:val="20"/>
          <w:szCs w:val="20"/>
        </w:rPr>
      </w:pPr>
      <w:r w:rsidRPr="00D16CA4">
        <w:rPr>
          <w:rFonts w:ascii="Arial" w:hAnsi="Arial" w:cs="Arial"/>
          <w:b/>
          <w:bCs/>
          <w:sz w:val="20"/>
          <w:szCs w:val="20"/>
        </w:rPr>
        <w:t>HIGHLIGHTS</w:t>
      </w:r>
    </w:p>
    <w:p w14:paraId="0A830506" w14:textId="5231DD20" w:rsidR="00B510D8" w:rsidRPr="00D16CA4" w:rsidRDefault="001B603A" w:rsidP="00CC089B">
      <w:pPr>
        <w:pStyle w:val="prastasis"/>
        <w:spacing w:after="120"/>
        <w:jc w:val="center"/>
        <w:rPr>
          <w:rFonts w:ascii="Arial" w:hAnsi="Arial" w:cs="Arial"/>
          <w:b/>
          <w:bCs/>
          <w:sz w:val="20"/>
          <w:szCs w:val="20"/>
        </w:rPr>
      </w:pPr>
      <w:r w:rsidRPr="00D16CA4">
        <w:rPr>
          <w:rFonts w:ascii="Arial" w:hAnsi="Arial" w:cs="Arial"/>
          <w:b/>
          <w:bCs/>
          <w:sz w:val="20"/>
          <w:szCs w:val="20"/>
        </w:rPr>
        <w:t xml:space="preserve">ON THE </w:t>
      </w:r>
      <w:r w:rsidR="00CC089B" w:rsidRPr="00D16CA4">
        <w:rPr>
          <w:rFonts w:ascii="Arial" w:hAnsi="Arial" w:cs="Arial"/>
          <w:b/>
          <w:bCs/>
          <w:sz w:val="20"/>
          <w:szCs w:val="20"/>
        </w:rPr>
        <w:t>NON-PARTITIONING</w:t>
      </w:r>
      <w:r w:rsidRPr="00D16CA4">
        <w:rPr>
          <w:rFonts w:ascii="Arial" w:hAnsi="Arial" w:cs="Arial"/>
          <w:b/>
          <w:bCs/>
          <w:sz w:val="20"/>
          <w:szCs w:val="20"/>
        </w:rPr>
        <w:t xml:space="preserve"> OF </w:t>
      </w:r>
      <w:r w:rsidR="00CC089B" w:rsidRPr="00D16CA4">
        <w:rPr>
          <w:rFonts w:ascii="Arial" w:hAnsi="Arial" w:cs="Arial"/>
          <w:b/>
          <w:bCs/>
          <w:sz w:val="20"/>
          <w:szCs w:val="20"/>
        </w:rPr>
        <w:t>THE SUBJECT-MATTER OF THE CONTRACT</w:t>
      </w:r>
    </w:p>
    <w:p w14:paraId="0A830516" w14:textId="77777777" w:rsidR="00B510D8" w:rsidRPr="00D16CA4" w:rsidRDefault="00B510D8" w:rsidP="00CC089B">
      <w:pPr>
        <w:pStyle w:val="prastasis"/>
        <w:spacing w:after="120"/>
        <w:jc w:val="both"/>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4252"/>
        <w:gridCol w:w="5376"/>
      </w:tblGrid>
      <w:tr w:rsidR="00CC089B" w:rsidRPr="00D16CA4" w14:paraId="2A3E8F7E"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90945" w14:textId="721689E2" w:rsidR="00CC089B" w:rsidRPr="00D16CA4" w:rsidRDefault="00CC089B" w:rsidP="009D6753">
            <w:pPr>
              <w:suppressAutoHyphens/>
              <w:spacing w:after="120"/>
              <w:jc w:val="both"/>
              <w:rPr>
                <w:rFonts w:ascii="Arial" w:hAnsi="Arial" w:cs="Arial"/>
                <w:sz w:val="20"/>
                <w:szCs w:val="20"/>
              </w:rPr>
            </w:pPr>
            <w:r w:rsidRPr="00D16CA4">
              <w:rPr>
                <w:rFonts w:ascii="Arial" w:hAnsi="Arial" w:cs="Arial"/>
                <w:b/>
                <w:bCs/>
                <w:sz w:val="20"/>
                <w:szCs w:val="20"/>
              </w:rPr>
              <w:t>Buyer</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4E6FF" w14:textId="280EEDF9" w:rsidR="00CC089B" w:rsidRPr="00D16CA4" w:rsidRDefault="00D16CA4" w:rsidP="00EE11F1">
            <w:pPr>
              <w:suppressAutoHyphens/>
              <w:spacing w:after="120"/>
              <w:rPr>
                <w:rFonts w:ascii="Arial" w:hAnsi="Arial" w:cs="Arial"/>
                <w:sz w:val="20"/>
                <w:szCs w:val="20"/>
              </w:rPr>
            </w:pPr>
            <w:r w:rsidRPr="00D16CA4">
              <w:rPr>
                <w:rFonts w:ascii="Arial" w:hAnsi="Arial" w:cs="Arial"/>
                <w:sz w:val="20"/>
                <w:szCs w:val="20"/>
              </w:rPr>
              <w:t xml:space="preserve">LTG Kompetencijų centras UAB (hereinafter referred to as </w:t>
            </w:r>
            <w:r w:rsidRPr="00CC005B">
              <w:rPr>
                <w:rFonts w:ascii="Arial" w:hAnsi="Arial" w:cs="Arial"/>
                <w:b/>
                <w:bCs/>
                <w:sz w:val="20"/>
                <w:szCs w:val="20"/>
              </w:rPr>
              <w:t xml:space="preserve">the </w:t>
            </w:r>
            <w:r w:rsidRPr="00D16CA4">
              <w:rPr>
                <w:rFonts w:ascii="Arial" w:hAnsi="Arial" w:cs="Arial"/>
                <w:b/>
                <w:bCs/>
                <w:sz w:val="20"/>
                <w:szCs w:val="20"/>
              </w:rPr>
              <w:t>Company</w:t>
            </w:r>
            <w:r w:rsidR="001345D2">
              <w:rPr>
                <w:rFonts w:ascii="Arial" w:hAnsi="Arial" w:cs="Arial"/>
                <w:b/>
                <w:bCs/>
                <w:sz w:val="20"/>
                <w:szCs w:val="20"/>
              </w:rPr>
              <w:t xml:space="preserve">, the </w:t>
            </w:r>
            <w:r w:rsidR="00604415">
              <w:rPr>
                <w:rFonts w:ascii="Arial" w:hAnsi="Arial" w:cs="Arial"/>
                <w:b/>
                <w:bCs/>
                <w:sz w:val="20"/>
                <w:szCs w:val="20"/>
              </w:rPr>
              <w:t>Contracting Authority</w:t>
            </w:r>
            <w:r w:rsidRPr="00D16CA4">
              <w:rPr>
                <w:rFonts w:ascii="Arial" w:hAnsi="Arial" w:cs="Arial"/>
                <w:sz w:val="20"/>
                <w:szCs w:val="20"/>
              </w:rPr>
              <w:t>)</w:t>
            </w:r>
          </w:p>
        </w:tc>
      </w:tr>
      <w:tr w:rsidR="004347C6" w:rsidRPr="00D16CA4" w14:paraId="5918541F"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BF84C" w14:textId="1D8E3D27" w:rsidR="004347C6" w:rsidRPr="00D16CA4" w:rsidRDefault="004347C6" w:rsidP="00CC089B">
            <w:pPr>
              <w:suppressAutoHyphens/>
              <w:spacing w:after="120"/>
              <w:jc w:val="both"/>
              <w:rPr>
                <w:rFonts w:ascii="Arial" w:hAnsi="Arial" w:cs="Arial"/>
                <w:b/>
                <w:bCs/>
                <w:sz w:val="20"/>
                <w:szCs w:val="20"/>
              </w:rPr>
            </w:pPr>
            <w:r w:rsidRPr="00D16CA4">
              <w:rPr>
                <w:rFonts w:ascii="Arial" w:hAnsi="Arial" w:cs="Arial"/>
                <w:b/>
                <w:bCs/>
                <w:sz w:val="20"/>
                <w:szCs w:val="20"/>
              </w:rPr>
              <w:t>Purchase number</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1773E" w14:textId="76D8C88D" w:rsidR="004347C6" w:rsidRPr="00D16CA4" w:rsidRDefault="00D16CA4" w:rsidP="00CC089B">
            <w:pPr>
              <w:suppressAutoHyphens/>
              <w:spacing w:after="120"/>
              <w:rPr>
                <w:rFonts w:ascii="Arial" w:hAnsi="Arial" w:cs="Arial"/>
                <w:sz w:val="20"/>
                <w:szCs w:val="20"/>
                <w:lang w:val="en-US"/>
              </w:rPr>
            </w:pPr>
            <w:r>
              <w:rPr>
                <w:rFonts w:ascii="Arial" w:hAnsi="Arial" w:cs="Arial"/>
                <w:sz w:val="20"/>
                <w:szCs w:val="20"/>
                <w:lang w:val="en-US"/>
              </w:rPr>
              <w:t>29392</w:t>
            </w:r>
          </w:p>
        </w:tc>
      </w:tr>
      <w:tr w:rsidR="00CC089B" w:rsidRPr="00D16CA4" w14:paraId="5824FB6E"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399DC" w14:textId="77777777" w:rsidR="00CC089B" w:rsidRPr="00D16CA4" w:rsidRDefault="00CC089B" w:rsidP="00CC089B">
            <w:pPr>
              <w:suppressAutoHyphens/>
              <w:spacing w:after="120"/>
              <w:jc w:val="both"/>
              <w:rPr>
                <w:rFonts w:ascii="Arial" w:hAnsi="Arial" w:cs="Arial"/>
                <w:b/>
                <w:bCs/>
                <w:sz w:val="20"/>
                <w:szCs w:val="20"/>
              </w:rPr>
            </w:pPr>
            <w:r w:rsidRPr="00D16CA4">
              <w:rPr>
                <w:rFonts w:ascii="Arial" w:hAnsi="Arial" w:cs="Arial"/>
                <w:b/>
                <w:bCs/>
                <w:sz w:val="20"/>
                <w:szCs w:val="20"/>
              </w:rPr>
              <w:t>Object of purchase</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025288" w14:textId="6157C0CA" w:rsidR="00CC089B" w:rsidRPr="00D16CA4" w:rsidRDefault="00F90D75" w:rsidP="00CC089B">
            <w:pPr>
              <w:suppressAutoHyphens/>
              <w:spacing w:after="120"/>
              <w:rPr>
                <w:rFonts w:ascii="Arial" w:hAnsi="Arial" w:cs="Arial"/>
                <w:sz w:val="20"/>
                <w:szCs w:val="20"/>
              </w:rPr>
            </w:pPr>
            <w:r w:rsidRPr="3FB311FF">
              <w:rPr>
                <w:rFonts w:ascii="Arial" w:hAnsi="Arial" w:cs="Arial"/>
                <w:sz w:val="20"/>
                <w:szCs w:val="20"/>
              </w:rPr>
              <w:t xml:space="preserve">Hyperconverged Infrastructure, Virtualisation and Backup </w:t>
            </w:r>
            <w:r>
              <w:rPr>
                <w:rFonts w:ascii="Arial" w:hAnsi="Arial" w:cs="Arial"/>
                <w:sz w:val="20"/>
                <w:szCs w:val="20"/>
              </w:rPr>
              <w:t xml:space="preserve">System </w:t>
            </w:r>
            <w:r w:rsidR="00CE03A7">
              <w:rPr>
                <w:rFonts w:ascii="Arial" w:hAnsi="Arial" w:cs="Arial"/>
                <w:sz w:val="20"/>
                <w:szCs w:val="20"/>
              </w:rPr>
              <w:t>(hereinafter referred to as "</w:t>
            </w:r>
            <w:r w:rsidR="00CE03A7" w:rsidRPr="00CC005B">
              <w:rPr>
                <w:rFonts w:ascii="Arial" w:hAnsi="Arial" w:cs="Arial"/>
                <w:b/>
                <w:bCs/>
                <w:sz w:val="20"/>
                <w:szCs w:val="20"/>
              </w:rPr>
              <w:t>the</w:t>
            </w:r>
            <w:r w:rsidR="00CE03A7">
              <w:rPr>
                <w:rFonts w:ascii="Arial" w:hAnsi="Arial" w:cs="Arial"/>
                <w:sz w:val="20"/>
                <w:szCs w:val="20"/>
              </w:rPr>
              <w:t xml:space="preserve"> </w:t>
            </w:r>
            <w:r w:rsidR="00CE03A7" w:rsidRPr="00C14204">
              <w:rPr>
                <w:rFonts w:ascii="Arial" w:hAnsi="Arial" w:cs="Arial"/>
                <w:b/>
                <w:bCs/>
                <w:sz w:val="20"/>
                <w:szCs w:val="20"/>
              </w:rPr>
              <w:t>Procurement</w:t>
            </w:r>
            <w:r w:rsidR="00CE03A7">
              <w:rPr>
                <w:rFonts w:ascii="Arial" w:hAnsi="Arial" w:cs="Arial"/>
                <w:sz w:val="20"/>
                <w:szCs w:val="20"/>
              </w:rPr>
              <w:t>")</w:t>
            </w:r>
          </w:p>
        </w:tc>
      </w:tr>
      <w:tr w:rsidR="00CC089B" w:rsidRPr="00D16CA4" w14:paraId="11DF8345"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CE8481" w14:textId="77777777" w:rsidR="00CC089B" w:rsidRPr="00D16CA4" w:rsidRDefault="00CC089B" w:rsidP="00CC089B">
            <w:pPr>
              <w:suppressAutoHyphens/>
              <w:spacing w:after="120"/>
              <w:jc w:val="both"/>
              <w:rPr>
                <w:rFonts w:ascii="Arial" w:hAnsi="Arial" w:cs="Arial"/>
                <w:b/>
                <w:bCs/>
                <w:sz w:val="20"/>
                <w:szCs w:val="20"/>
              </w:rPr>
            </w:pPr>
            <w:r w:rsidRPr="00D16CA4">
              <w:rPr>
                <w:rFonts w:ascii="Arial" w:hAnsi="Arial" w:cs="Arial"/>
                <w:b/>
                <w:bCs/>
                <w:sz w:val="20"/>
                <w:szCs w:val="20"/>
              </w:rPr>
              <w:t>Purchase value limits</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DFEAA" w14:textId="77777777" w:rsidR="00CC089B" w:rsidRPr="00D16CA4" w:rsidRDefault="00CC089B" w:rsidP="00CC089B">
            <w:pPr>
              <w:suppressAutoHyphens/>
              <w:spacing w:after="120"/>
              <w:rPr>
                <w:rFonts w:ascii="Arial" w:hAnsi="Arial" w:cs="Arial"/>
                <w:sz w:val="20"/>
                <w:szCs w:val="20"/>
              </w:rPr>
            </w:pPr>
            <w:r w:rsidRPr="00D16CA4">
              <w:rPr>
                <w:rFonts w:ascii="Arial" w:hAnsi="Arial" w:cs="Arial"/>
                <w:sz w:val="20"/>
                <w:szCs w:val="20"/>
              </w:rPr>
              <w:t>International Purchasing</w:t>
            </w:r>
          </w:p>
        </w:tc>
      </w:tr>
      <w:tr w:rsidR="00CC089B" w:rsidRPr="00D16CA4" w14:paraId="4DD0672A" w14:textId="77777777" w:rsidTr="001B603A">
        <w:tc>
          <w:tcPr>
            <w:tcW w:w="22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BBACB" w14:textId="77777777" w:rsidR="00CC089B" w:rsidRPr="00D16CA4" w:rsidRDefault="00CC089B" w:rsidP="00CC089B">
            <w:pPr>
              <w:suppressAutoHyphens/>
              <w:spacing w:after="120"/>
              <w:jc w:val="both"/>
              <w:rPr>
                <w:rFonts w:ascii="Arial" w:hAnsi="Arial" w:cs="Arial"/>
                <w:b/>
                <w:bCs/>
                <w:sz w:val="20"/>
                <w:szCs w:val="20"/>
              </w:rPr>
            </w:pPr>
            <w:r w:rsidRPr="00D16CA4">
              <w:rPr>
                <w:rFonts w:ascii="Arial" w:hAnsi="Arial" w:cs="Arial"/>
                <w:b/>
                <w:bCs/>
                <w:sz w:val="20"/>
                <w:szCs w:val="20"/>
              </w:rPr>
              <w:t>Method of purchase</w:t>
            </w:r>
          </w:p>
        </w:tc>
        <w:tc>
          <w:tcPr>
            <w:tcW w:w="279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F9D796" w14:textId="310E44DE" w:rsidR="00CC089B" w:rsidRPr="00D16CA4" w:rsidRDefault="00CF2D78" w:rsidP="00CC089B">
            <w:pPr>
              <w:suppressAutoHyphens/>
              <w:spacing w:after="120"/>
              <w:rPr>
                <w:rFonts w:ascii="Arial" w:hAnsi="Arial" w:cs="Arial"/>
                <w:sz w:val="20"/>
                <w:szCs w:val="20"/>
              </w:rPr>
            </w:pPr>
            <w:r>
              <w:rPr>
                <w:rFonts w:ascii="Arial" w:hAnsi="Arial" w:cs="Arial"/>
                <w:sz w:val="20"/>
                <w:szCs w:val="20"/>
              </w:rPr>
              <w:t>Negotiations are announced</w:t>
            </w:r>
          </w:p>
        </w:tc>
      </w:tr>
    </w:tbl>
    <w:p w14:paraId="49A4D76F" w14:textId="77777777" w:rsidR="00CC089B" w:rsidRPr="00D16CA4" w:rsidRDefault="00CC089B" w:rsidP="00CC089B">
      <w:pPr>
        <w:pStyle w:val="prastasis"/>
        <w:spacing w:after="120"/>
        <w:jc w:val="both"/>
        <w:rPr>
          <w:rFonts w:ascii="Arial" w:hAnsi="Arial" w:cs="Arial"/>
          <w:sz w:val="20"/>
          <w:szCs w:val="20"/>
        </w:rPr>
      </w:pPr>
    </w:p>
    <w:p w14:paraId="0A830519" w14:textId="56A97908" w:rsidR="00B510D8" w:rsidRDefault="00351216">
      <w:pPr>
        <w:pStyle w:val="prastasis"/>
        <w:jc w:val="both"/>
        <w:rPr>
          <w:rFonts w:ascii="Arial" w:hAnsi="Arial" w:cs="Arial"/>
          <w:sz w:val="20"/>
          <w:szCs w:val="20"/>
        </w:rPr>
      </w:pPr>
      <w:r>
        <w:rPr>
          <w:rFonts w:ascii="Arial" w:hAnsi="Arial" w:cs="Arial"/>
          <w:sz w:val="20"/>
          <w:szCs w:val="20"/>
        </w:rPr>
        <w:t xml:space="preserve">             </w:t>
      </w:r>
      <w:r w:rsidR="00B01EC6">
        <w:rPr>
          <w:rFonts w:ascii="Arial" w:hAnsi="Arial" w:cs="Arial"/>
          <w:sz w:val="20"/>
          <w:szCs w:val="20"/>
        </w:rPr>
        <w:t xml:space="preserve">The Company </w:t>
      </w:r>
      <w:r w:rsidR="00872B41" w:rsidRPr="00D16CA4">
        <w:rPr>
          <w:rFonts w:ascii="Arial" w:hAnsi="Arial" w:cs="Arial"/>
          <w:sz w:val="20"/>
          <w:szCs w:val="20"/>
        </w:rPr>
        <w:t xml:space="preserve">is conducting </w:t>
      </w:r>
      <w:r w:rsidR="000A2EAE" w:rsidRPr="00D16CA4">
        <w:rPr>
          <w:rFonts w:ascii="Arial" w:hAnsi="Arial" w:cs="Arial"/>
          <w:sz w:val="20"/>
          <w:szCs w:val="20"/>
        </w:rPr>
        <w:t xml:space="preserve">an international procurement and, in accordance with </w:t>
      </w:r>
      <w:r w:rsidR="001B603A" w:rsidRPr="00D16CA4">
        <w:rPr>
          <w:rFonts w:ascii="Arial" w:hAnsi="Arial" w:cs="Arial"/>
          <w:sz w:val="20"/>
          <w:szCs w:val="20"/>
        </w:rPr>
        <w:t xml:space="preserve">the provisions of </w:t>
      </w:r>
      <w:r w:rsidR="00B01EC6">
        <w:rPr>
          <w:rFonts w:ascii="Arial" w:hAnsi="Arial" w:cs="Arial"/>
          <w:sz w:val="20"/>
          <w:szCs w:val="20"/>
        </w:rPr>
        <w:t xml:space="preserve">Article 28 of the Public Procurement Law of the Republic of Lithuania </w:t>
      </w:r>
      <w:r w:rsidR="00F87F5C">
        <w:rPr>
          <w:rFonts w:ascii="Arial" w:hAnsi="Arial" w:cs="Arial"/>
          <w:sz w:val="20"/>
          <w:szCs w:val="20"/>
        </w:rPr>
        <w:t>(hereinafter referred to as the "PPL")</w:t>
      </w:r>
      <w:r w:rsidR="001B603A" w:rsidRPr="00D16CA4">
        <w:rPr>
          <w:rFonts w:ascii="Arial" w:hAnsi="Arial" w:cs="Arial"/>
          <w:sz w:val="20"/>
          <w:szCs w:val="20"/>
        </w:rPr>
        <w:t xml:space="preserve">, in </w:t>
      </w:r>
      <w:r w:rsidR="000A2EAE" w:rsidRPr="00D16CA4">
        <w:rPr>
          <w:rFonts w:ascii="Arial" w:hAnsi="Arial" w:cs="Arial"/>
          <w:sz w:val="20"/>
          <w:szCs w:val="20"/>
        </w:rPr>
        <w:t xml:space="preserve">order to </w:t>
      </w:r>
      <w:r w:rsidR="001B603A" w:rsidRPr="00D16CA4">
        <w:rPr>
          <w:rFonts w:ascii="Arial" w:hAnsi="Arial" w:cs="Arial"/>
          <w:sz w:val="20"/>
          <w:szCs w:val="20"/>
        </w:rPr>
        <w:t xml:space="preserve">increase the competition among suppliers and taking into account the ability of small and medium-sized enterprises to perform the contract, it takes a decision to divide the subject of the procurement into parts </w:t>
      </w:r>
      <w:r w:rsidR="004260CD" w:rsidRPr="00D16CA4">
        <w:rPr>
          <w:rFonts w:ascii="Arial" w:hAnsi="Arial" w:cs="Arial"/>
          <w:sz w:val="20"/>
          <w:szCs w:val="20"/>
        </w:rPr>
        <w:t>and provides the justification for this decision in the procurement documents</w:t>
      </w:r>
      <w:r w:rsidR="001B603A" w:rsidRPr="00D16CA4">
        <w:rPr>
          <w:rFonts w:ascii="Arial" w:hAnsi="Arial" w:cs="Arial"/>
          <w:sz w:val="20"/>
          <w:szCs w:val="20"/>
        </w:rPr>
        <w:t>.</w:t>
      </w:r>
    </w:p>
    <w:p w14:paraId="6C7EFC5A" w14:textId="713B1101" w:rsidR="000F344B" w:rsidRPr="00B61AA9" w:rsidRDefault="00351216" w:rsidP="000F344B">
      <w:pPr>
        <w:pStyle w:val="prastasis"/>
        <w:jc w:val="both"/>
      </w:pPr>
      <w:r w:rsidRPr="00B61AA9">
        <w:rPr>
          <w:rFonts w:ascii="Arial" w:hAnsi="Arial" w:cs="Arial"/>
          <w:sz w:val="20"/>
          <w:szCs w:val="20"/>
        </w:rPr>
        <w:t xml:space="preserve">             </w:t>
      </w:r>
      <w:r w:rsidR="000F344B" w:rsidRPr="00B61AA9">
        <w:rPr>
          <w:rFonts w:ascii="Arial" w:hAnsi="Arial" w:cs="Arial"/>
          <w:sz w:val="20"/>
          <w:szCs w:val="20"/>
        </w:rPr>
        <w:t>In accordance with Article 28 of the P</w:t>
      </w:r>
      <w:r w:rsidR="0052377E">
        <w:rPr>
          <w:rFonts w:ascii="Arial" w:hAnsi="Arial" w:cs="Arial"/>
          <w:sz w:val="20"/>
          <w:szCs w:val="20"/>
        </w:rPr>
        <w:t>PL</w:t>
      </w:r>
      <w:r w:rsidR="000F344B" w:rsidRPr="00B61AA9">
        <w:rPr>
          <w:rFonts w:ascii="Arial" w:hAnsi="Arial" w:cs="Arial"/>
          <w:sz w:val="20"/>
          <w:szCs w:val="20"/>
        </w:rPr>
        <w:t xml:space="preserve">, international procurement must be carried out by dividing the subject-matter of the procurement into lots on a quantitative or qualitative basis, or according to the different phases of its implementation. </w:t>
      </w:r>
      <w:r w:rsidR="60AEC17C" w:rsidRPr="55494A7D">
        <w:rPr>
          <w:rFonts w:ascii="Arial" w:eastAsia="Arial" w:hAnsi="Arial" w:cs="Arial"/>
          <w:color w:val="222222"/>
          <w:sz w:val="20"/>
          <w:szCs w:val="20"/>
        </w:rPr>
        <w:t xml:space="preserve"> After a detailed analysis of the  procurement and the market, the </w:t>
      </w:r>
      <w:r w:rsidR="00604415">
        <w:rPr>
          <w:rFonts w:ascii="Arial" w:eastAsia="Arial" w:hAnsi="Arial" w:cs="Arial"/>
          <w:color w:val="222222"/>
          <w:sz w:val="20"/>
          <w:szCs w:val="20"/>
        </w:rPr>
        <w:t>PP</w:t>
      </w:r>
      <w:r w:rsidR="60AEC17C" w:rsidRPr="55494A7D">
        <w:rPr>
          <w:rFonts w:ascii="Arial" w:eastAsia="Arial" w:hAnsi="Arial" w:cs="Arial"/>
          <w:color w:val="222222"/>
          <w:sz w:val="20"/>
          <w:szCs w:val="20"/>
        </w:rPr>
        <w:t xml:space="preserve"> contracting authority has found that, in this </w:t>
      </w:r>
      <w:r w:rsidR="00604415">
        <w:rPr>
          <w:rFonts w:ascii="Arial" w:eastAsia="Arial" w:hAnsi="Arial" w:cs="Arial"/>
          <w:color w:val="222222"/>
          <w:sz w:val="20"/>
          <w:szCs w:val="20"/>
        </w:rPr>
        <w:t>P</w:t>
      </w:r>
      <w:r w:rsidR="60AEC17C" w:rsidRPr="55494A7D">
        <w:rPr>
          <w:rFonts w:ascii="Arial" w:eastAsia="Arial" w:hAnsi="Arial" w:cs="Arial"/>
          <w:color w:val="222222"/>
          <w:sz w:val="20"/>
          <w:szCs w:val="20"/>
        </w:rPr>
        <w:t>rocurement, the subdivision of the subject-matter of the procurement into lots is not rational and possible for the following reasons:</w:t>
      </w:r>
    </w:p>
    <w:p w14:paraId="615185CD" w14:textId="26E6EF10" w:rsidR="00F87F5C" w:rsidRPr="002B6B64" w:rsidRDefault="00577580" w:rsidP="00C14204">
      <w:pPr>
        <w:pStyle w:val="prastasis"/>
        <w:numPr>
          <w:ilvl w:val="0"/>
          <w:numId w:val="4"/>
        </w:numPr>
        <w:jc w:val="both"/>
        <w:rPr>
          <w:rFonts w:ascii="Arial" w:eastAsia="Arial" w:hAnsi="Arial" w:cs="Arial"/>
          <w:color w:val="222222"/>
          <w:sz w:val="20"/>
          <w:szCs w:val="20"/>
        </w:rPr>
      </w:pPr>
      <w:r w:rsidRPr="00A370D3">
        <w:rPr>
          <w:rFonts w:ascii="Arial" w:hAnsi="Arial" w:cs="Arial"/>
          <w:sz w:val="20"/>
          <w:szCs w:val="20"/>
        </w:rPr>
        <w:t xml:space="preserve">The scope and complexity of the procurement is best managed by a single Service Provider. Splitting </w:t>
      </w:r>
      <w:r w:rsidR="007D3FC7">
        <w:rPr>
          <w:rFonts w:ascii="Arial" w:hAnsi="Arial" w:cs="Arial"/>
          <w:sz w:val="20"/>
          <w:szCs w:val="20"/>
        </w:rPr>
        <w:t xml:space="preserve">the </w:t>
      </w:r>
      <w:r w:rsidRPr="00A370D3">
        <w:rPr>
          <w:rFonts w:ascii="Arial" w:hAnsi="Arial" w:cs="Arial"/>
          <w:sz w:val="20"/>
          <w:szCs w:val="20"/>
        </w:rPr>
        <w:t xml:space="preserve"> Procurement Object into sub-objects </w:t>
      </w:r>
      <w:r w:rsidR="000F344B" w:rsidRPr="002B6B64">
        <w:rPr>
          <w:rFonts w:ascii="Arial" w:hAnsi="Arial" w:cs="Arial"/>
          <w:sz w:val="20"/>
          <w:szCs w:val="20"/>
        </w:rPr>
        <w:t>would make the performance of the Procurement Contract prohibitively expensive or technically complex</w:t>
      </w:r>
      <w:r w:rsidR="0052377E">
        <w:rPr>
          <w:rFonts w:ascii="Arial" w:hAnsi="Arial" w:cs="Arial"/>
          <w:sz w:val="20"/>
          <w:szCs w:val="20"/>
        </w:rPr>
        <w:t>,</w:t>
      </w:r>
      <w:r w:rsidR="000F344B" w:rsidRPr="002B6B64">
        <w:rPr>
          <w:rFonts w:ascii="Arial" w:hAnsi="Arial" w:cs="Arial"/>
          <w:sz w:val="20"/>
          <w:szCs w:val="20"/>
        </w:rPr>
        <w:t xml:space="preserve"> </w:t>
      </w:r>
      <w:r w:rsidR="00AB3276">
        <w:rPr>
          <w:rFonts w:ascii="Arial" w:eastAsia="Arial" w:hAnsi="Arial" w:cs="Arial"/>
          <w:color w:val="222222"/>
          <w:sz w:val="20"/>
          <w:szCs w:val="20"/>
        </w:rPr>
        <w:t>c</w:t>
      </w:r>
      <w:r w:rsidR="0CAEE79E" w:rsidRPr="002B6B64">
        <w:rPr>
          <w:rFonts w:ascii="Arial" w:eastAsia="Arial" w:hAnsi="Arial" w:cs="Arial"/>
          <w:color w:val="222222"/>
          <w:sz w:val="20"/>
          <w:szCs w:val="20"/>
        </w:rPr>
        <w:t>oncerns:</w:t>
      </w:r>
    </w:p>
    <w:p w14:paraId="7D7F518B" w14:textId="069E8ECA" w:rsidR="0CAEE79E" w:rsidRPr="002B6B64" w:rsidRDefault="0CAEE79E" w:rsidP="00C14204">
      <w:pPr>
        <w:pStyle w:val="prastasis"/>
        <w:numPr>
          <w:ilvl w:val="0"/>
          <w:numId w:val="9"/>
        </w:numPr>
        <w:jc w:val="both"/>
        <w:rPr>
          <w:rFonts w:ascii="Arial" w:eastAsia="Arial" w:hAnsi="Arial" w:cs="Arial"/>
          <w:color w:val="222222"/>
          <w:sz w:val="20"/>
          <w:szCs w:val="20"/>
        </w:rPr>
      </w:pPr>
      <w:r w:rsidRPr="002B6B64">
        <w:rPr>
          <w:rFonts w:ascii="Arial" w:eastAsia="Arial" w:hAnsi="Arial" w:cs="Arial"/>
          <w:color w:val="222222"/>
          <w:sz w:val="20"/>
          <w:szCs w:val="20"/>
        </w:rPr>
        <w:t xml:space="preserve">Not splitting up the subject of the procurement results in better prices and more efficient use of resources. Purchasing more goods or services allows suppliers to optimise their costs and offer better financial terms. If the </w:t>
      </w:r>
      <w:r w:rsidR="004D2784">
        <w:rPr>
          <w:rFonts w:ascii="Arial" w:eastAsia="Arial" w:hAnsi="Arial" w:cs="Arial"/>
          <w:color w:val="222222"/>
          <w:sz w:val="20"/>
          <w:szCs w:val="20"/>
        </w:rPr>
        <w:t>P</w:t>
      </w:r>
      <w:r w:rsidRPr="002B6B64">
        <w:rPr>
          <w:rFonts w:ascii="Arial" w:eastAsia="Arial" w:hAnsi="Arial" w:cs="Arial"/>
          <w:color w:val="222222"/>
          <w:sz w:val="20"/>
          <w:szCs w:val="20"/>
        </w:rPr>
        <w:t xml:space="preserve">rocurement is split into several lots, the individual suppliers would have to organise their resources (labour, equipment, specialised specialists), which would increase the overall cost of the  </w:t>
      </w:r>
      <w:r w:rsidR="00CC5DB8">
        <w:rPr>
          <w:rFonts w:ascii="Arial" w:eastAsia="Arial" w:hAnsi="Arial" w:cs="Arial"/>
          <w:color w:val="222222"/>
          <w:sz w:val="20"/>
          <w:szCs w:val="20"/>
        </w:rPr>
        <w:t>P</w:t>
      </w:r>
      <w:r w:rsidRPr="002B6B64">
        <w:rPr>
          <w:rFonts w:ascii="Arial" w:eastAsia="Arial" w:hAnsi="Arial" w:cs="Arial"/>
          <w:color w:val="222222"/>
          <w:sz w:val="20"/>
          <w:szCs w:val="20"/>
        </w:rPr>
        <w:t>rocurement.</w:t>
      </w:r>
    </w:p>
    <w:p w14:paraId="115966A1" w14:textId="60AE13B7" w:rsidR="4CFE0CDD" w:rsidRPr="002B6B64" w:rsidRDefault="4CFE0CDD" w:rsidP="00C14204">
      <w:pPr>
        <w:pStyle w:val="ListParagraph"/>
        <w:numPr>
          <w:ilvl w:val="0"/>
          <w:numId w:val="4"/>
        </w:numPr>
        <w:shd w:val="clear" w:color="auto" w:fill="FFFFFF" w:themeFill="background1"/>
        <w:spacing w:after="0"/>
        <w:jc w:val="both"/>
        <w:rPr>
          <w:rFonts w:ascii="Arial" w:eastAsia="Arial" w:hAnsi="Arial" w:cs="Arial"/>
          <w:color w:val="222222"/>
          <w:sz w:val="20"/>
          <w:szCs w:val="20"/>
        </w:rPr>
      </w:pPr>
      <w:r w:rsidRPr="002B6B64">
        <w:rPr>
          <w:rFonts w:ascii="Arial" w:hAnsi="Arial" w:cs="Arial"/>
          <w:sz w:val="20"/>
          <w:szCs w:val="20"/>
        </w:rPr>
        <w:t xml:space="preserve">The implementation of the parts of the  contract would be closely interlinked and would require </w:t>
      </w:r>
      <w:r w:rsidR="004D2784">
        <w:rPr>
          <w:rFonts w:ascii="Arial" w:hAnsi="Arial" w:cs="Arial"/>
          <w:sz w:val="20"/>
          <w:szCs w:val="20"/>
        </w:rPr>
        <w:t xml:space="preserve">the </w:t>
      </w:r>
      <w:r w:rsidR="000E41FF">
        <w:rPr>
          <w:rFonts w:ascii="Arial" w:hAnsi="Arial" w:cs="Arial"/>
          <w:sz w:val="20"/>
          <w:szCs w:val="20"/>
        </w:rPr>
        <w:t>C</w:t>
      </w:r>
      <w:r w:rsidRPr="002B6B64">
        <w:rPr>
          <w:rFonts w:ascii="Arial" w:hAnsi="Arial" w:cs="Arial"/>
          <w:sz w:val="20"/>
          <w:szCs w:val="20"/>
        </w:rPr>
        <w:t xml:space="preserve">ontracting authority to coordinate the </w:t>
      </w:r>
      <w:r w:rsidR="000E41FF">
        <w:rPr>
          <w:rFonts w:ascii="Arial" w:hAnsi="Arial" w:cs="Arial"/>
          <w:sz w:val="20"/>
          <w:szCs w:val="20"/>
        </w:rPr>
        <w:t xml:space="preserve">different </w:t>
      </w:r>
      <w:r w:rsidRPr="002B6B64">
        <w:rPr>
          <w:rFonts w:ascii="Arial" w:hAnsi="Arial" w:cs="Arial"/>
          <w:sz w:val="20"/>
          <w:szCs w:val="20"/>
        </w:rPr>
        <w:t>suppliers of these parts, with the risk of inadequate performance of the contract</w:t>
      </w:r>
      <w:r w:rsidR="00757FD9">
        <w:rPr>
          <w:rFonts w:ascii="Arial" w:hAnsi="Arial" w:cs="Arial"/>
          <w:sz w:val="20"/>
          <w:szCs w:val="20"/>
        </w:rPr>
        <w:t>,</w:t>
      </w:r>
      <w:r w:rsidRPr="002B6B64">
        <w:rPr>
          <w:rFonts w:ascii="Arial" w:hAnsi="Arial" w:cs="Arial"/>
          <w:sz w:val="20"/>
          <w:szCs w:val="20"/>
        </w:rPr>
        <w:t xml:space="preserve"> </w:t>
      </w:r>
      <w:r w:rsidR="006133F8">
        <w:rPr>
          <w:rFonts w:ascii="Arial" w:eastAsia="Arial" w:hAnsi="Arial" w:cs="Arial"/>
          <w:color w:val="222222"/>
          <w:sz w:val="20"/>
          <w:szCs w:val="20"/>
        </w:rPr>
        <w:t>c</w:t>
      </w:r>
      <w:r w:rsidRPr="002B6B64">
        <w:rPr>
          <w:rFonts w:ascii="Arial" w:eastAsia="Arial" w:hAnsi="Arial" w:cs="Arial"/>
          <w:color w:val="222222"/>
          <w:sz w:val="20"/>
          <w:szCs w:val="20"/>
        </w:rPr>
        <w:t>oncerns:</w:t>
      </w:r>
    </w:p>
    <w:p w14:paraId="048A1270" w14:textId="7020B2AB" w:rsidR="60F738BC" w:rsidRPr="00C14204" w:rsidRDefault="60F738BC" w:rsidP="00A370D3">
      <w:pPr>
        <w:pStyle w:val="ListParagraph"/>
        <w:numPr>
          <w:ilvl w:val="0"/>
          <w:numId w:val="11"/>
        </w:numPr>
        <w:shd w:val="clear" w:color="auto" w:fill="FFFFFF" w:themeFill="background1"/>
        <w:spacing w:after="0"/>
        <w:jc w:val="both"/>
        <w:rPr>
          <w:rFonts w:ascii="Arial" w:eastAsia="Arial" w:hAnsi="Arial" w:cs="Arial"/>
          <w:color w:val="222222"/>
          <w:sz w:val="20"/>
          <w:szCs w:val="20"/>
        </w:rPr>
      </w:pPr>
      <w:r w:rsidRPr="002B6B64">
        <w:rPr>
          <w:rFonts w:ascii="Arial" w:eastAsia="Arial" w:hAnsi="Arial" w:cs="Arial"/>
          <w:color w:val="222222"/>
          <w:sz w:val="20"/>
          <w:szCs w:val="20"/>
        </w:rPr>
        <w:t>The equipment to be purchased (servers, caches, software) is specific and can only be supplemented with components from the same manufacturer to ensure full technical compatibility and uninterrupted operation of the systems.</w:t>
      </w:r>
    </w:p>
    <w:p w14:paraId="5A91BA85" w14:textId="50180F86" w:rsidR="60F738BC" w:rsidRPr="00C14204" w:rsidRDefault="60F738BC" w:rsidP="00C14204">
      <w:pPr>
        <w:pStyle w:val="ListParagraph"/>
        <w:numPr>
          <w:ilvl w:val="0"/>
          <w:numId w:val="11"/>
        </w:numPr>
        <w:shd w:val="clear" w:color="auto" w:fill="FFFFFF" w:themeFill="background1"/>
        <w:spacing w:after="0"/>
        <w:jc w:val="both"/>
        <w:rPr>
          <w:rFonts w:ascii="Arial" w:eastAsia="Arial" w:hAnsi="Arial" w:cs="Arial"/>
          <w:color w:val="222222"/>
          <w:sz w:val="20"/>
          <w:szCs w:val="20"/>
        </w:rPr>
      </w:pPr>
      <w:r w:rsidRPr="002B6B64">
        <w:rPr>
          <w:rFonts w:ascii="Arial" w:eastAsia="Arial" w:hAnsi="Arial" w:cs="Arial"/>
          <w:color w:val="222222"/>
          <w:sz w:val="20"/>
          <w:szCs w:val="20"/>
        </w:rPr>
        <w:t>System support and development services cannot be separated from the maintenance of the existing infrastructure, as they are based on the "last code" principle, meaning that any separation would entail disproportionate technical and operational risks.</w:t>
      </w:r>
    </w:p>
    <w:p w14:paraId="2858EBA7" w14:textId="1A5DDB9C" w:rsidR="60F738BC" w:rsidRPr="00C14204" w:rsidRDefault="60F738BC">
      <w:pPr>
        <w:pStyle w:val="ListParagraph"/>
        <w:numPr>
          <w:ilvl w:val="0"/>
          <w:numId w:val="11"/>
        </w:numPr>
        <w:shd w:val="clear" w:color="auto" w:fill="FFFFFF" w:themeFill="background1"/>
        <w:spacing w:after="0"/>
        <w:jc w:val="both"/>
        <w:rPr>
          <w:rFonts w:ascii="Arial" w:hAnsi="Arial" w:cs="Arial"/>
          <w:sz w:val="20"/>
          <w:szCs w:val="20"/>
        </w:rPr>
      </w:pPr>
      <w:r w:rsidRPr="002B6B64">
        <w:rPr>
          <w:rFonts w:ascii="Arial" w:eastAsia="Arial" w:hAnsi="Arial" w:cs="Arial"/>
          <w:color w:val="222222"/>
          <w:sz w:val="20"/>
          <w:szCs w:val="20"/>
        </w:rPr>
        <w:t>Backup caches and software are directly dependent on the proposed virtualisation solution, so separate purchases would not guarantee the stability and security of the information systems</w:t>
      </w:r>
      <w:r w:rsidR="3A2AC5AD" w:rsidRPr="002B6B64">
        <w:rPr>
          <w:rFonts w:ascii="Arial" w:eastAsia="Arial" w:hAnsi="Arial" w:cs="Arial"/>
          <w:color w:val="222222"/>
          <w:sz w:val="20"/>
          <w:szCs w:val="20"/>
        </w:rPr>
        <w:t>.</w:t>
      </w:r>
    </w:p>
    <w:p w14:paraId="355B4AE9" w14:textId="77777777" w:rsidR="00BA48F8" w:rsidRPr="002B6B64" w:rsidRDefault="00BA48F8" w:rsidP="00C14204">
      <w:pPr>
        <w:pStyle w:val="ListParagraph"/>
        <w:shd w:val="clear" w:color="auto" w:fill="FFFFFF" w:themeFill="background1"/>
        <w:spacing w:after="0"/>
        <w:ind w:left="1080"/>
        <w:jc w:val="both"/>
        <w:rPr>
          <w:rFonts w:ascii="Arial" w:hAnsi="Arial" w:cs="Arial"/>
          <w:sz w:val="20"/>
          <w:szCs w:val="20"/>
        </w:rPr>
      </w:pPr>
    </w:p>
    <w:p w14:paraId="0E97EA04" w14:textId="3C89220B" w:rsidR="349BD8A8" w:rsidRPr="00A370D3" w:rsidRDefault="349BD8A8" w:rsidP="00C14204">
      <w:pPr>
        <w:pStyle w:val="ListParagraph"/>
        <w:numPr>
          <w:ilvl w:val="0"/>
          <w:numId w:val="4"/>
        </w:numPr>
        <w:shd w:val="clear" w:color="auto" w:fill="FFFFFF" w:themeFill="background1"/>
        <w:spacing w:after="0"/>
        <w:jc w:val="both"/>
        <w:rPr>
          <w:rFonts w:ascii="Arial" w:eastAsia="Arial" w:hAnsi="Arial" w:cs="Arial"/>
          <w:color w:val="222222"/>
          <w:sz w:val="20"/>
          <w:szCs w:val="20"/>
          <w:lang w:val="en-US"/>
        </w:rPr>
      </w:pPr>
      <w:r w:rsidRPr="00A370D3">
        <w:rPr>
          <w:rFonts w:ascii="Arial" w:eastAsia="Arial" w:hAnsi="Arial" w:cs="Arial"/>
          <w:color w:val="222222"/>
          <w:sz w:val="20"/>
          <w:szCs w:val="20"/>
          <w:lang w:val="en-US"/>
        </w:rPr>
        <w:t>Managing project implementation risks</w:t>
      </w:r>
      <w:r w:rsidR="640308ED" w:rsidRPr="00A370D3">
        <w:rPr>
          <w:rFonts w:ascii="Arial" w:eastAsia="Arial" w:hAnsi="Arial" w:cs="Arial"/>
          <w:color w:val="222222"/>
          <w:sz w:val="20"/>
          <w:szCs w:val="20"/>
          <w:lang w:val="en-US"/>
        </w:rPr>
        <w:t>:</w:t>
      </w:r>
    </w:p>
    <w:p w14:paraId="331B9148" w14:textId="5D7B6C85" w:rsidR="1B39D1B9" w:rsidRPr="00A370D3" w:rsidRDefault="1B39D1B9" w:rsidP="00C14204">
      <w:pPr>
        <w:pStyle w:val="ListParagraph"/>
        <w:numPr>
          <w:ilvl w:val="0"/>
          <w:numId w:val="7"/>
        </w:numPr>
        <w:shd w:val="clear" w:color="auto" w:fill="FFFFFF" w:themeFill="background1"/>
        <w:spacing w:after="0"/>
        <w:jc w:val="both"/>
        <w:rPr>
          <w:rFonts w:ascii="Arial" w:eastAsia="Arial" w:hAnsi="Arial" w:cs="Arial"/>
          <w:color w:val="222222"/>
          <w:sz w:val="20"/>
          <w:szCs w:val="20"/>
          <w:lang w:val="en-US"/>
        </w:rPr>
      </w:pPr>
      <w:r w:rsidRPr="00A370D3">
        <w:rPr>
          <w:rFonts w:ascii="Arial" w:eastAsia="Arial" w:hAnsi="Arial" w:cs="Arial"/>
          <w:color w:val="222222"/>
          <w:sz w:val="20"/>
          <w:szCs w:val="20"/>
          <w:lang w:val="en-US"/>
        </w:rPr>
        <w:t>Splitting up the subject of the procurement would create risks in terms of coordination between different suppliers. System integration requires a single solution, and different suppliers can lead to problems of responsibility sharing and unforeseen disruptions in project implementation.</w:t>
      </w:r>
    </w:p>
    <w:p w14:paraId="593A3585" w14:textId="4C86F312" w:rsidR="1B39D1B9" w:rsidRDefault="1B39D1B9">
      <w:pPr>
        <w:pStyle w:val="ListParagraph"/>
        <w:numPr>
          <w:ilvl w:val="0"/>
          <w:numId w:val="7"/>
        </w:numPr>
        <w:shd w:val="clear" w:color="auto" w:fill="FFFFFF" w:themeFill="background1"/>
        <w:spacing w:after="0"/>
        <w:jc w:val="both"/>
        <w:rPr>
          <w:rFonts w:ascii="Arial" w:eastAsia="Arial" w:hAnsi="Arial" w:cs="Arial"/>
          <w:color w:val="222222"/>
          <w:sz w:val="20"/>
          <w:szCs w:val="20"/>
          <w:lang w:val="en-US"/>
        </w:rPr>
      </w:pPr>
      <w:r w:rsidRPr="00A370D3">
        <w:rPr>
          <w:rFonts w:ascii="Arial" w:eastAsia="Arial" w:hAnsi="Arial" w:cs="Arial"/>
          <w:color w:val="222222"/>
          <w:sz w:val="20"/>
          <w:szCs w:val="20"/>
          <w:lang w:val="en-US"/>
        </w:rPr>
        <w:t>The involvement of different suppliers would complicate the organisation of maintenance and after-sales support, as it would raise difficult questions about the limits of responsibility and the efficiency of troubleshooting.</w:t>
      </w:r>
    </w:p>
    <w:p w14:paraId="7AC6834B" w14:textId="77777777" w:rsidR="00BA48F8" w:rsidRPr="00A370D3" w:rsidRDefault="00BA48F8" w:rsidP="00C14204">
      <w:pPr>
        <w:pStyle w:val="ListParagraph"/>
        <w:shd w:val="clear" w:color="auto" w:fill="FFFFFF" w:themeFill="background1"/>
        <w:spacing w:after="0"/>
        <w:ind w:left="1080"/>
        <w:jc w:val="both"/>
        <w:rPr>
          <w:rFonts w:ascii="Arial" w:eastAsia="Arial" w:hAnsi="Arial" w:cs="Arial"/>
          <w:color w:val="222222"/>
          <w:sz w:val="20"/>
          <w:szCs w:val="20"/>
          <w:lang w:val="en-US"/>
        </w:rPr>
      </w:pPr>
    </w:p>
    <w:p w14:paraId="2950ED21" w14:textId="19AF7461" w:rsidR="5AABE7D9" w:rsidRPr="00A370D3" w:rsidRDefault="5AABE7D9" w:rsidP="00C14204">
      <w:pPr>
        <w:pStyle w:val="ListParagraph"/>
        <w:numPr>
          <w:ilvl w:val="0"/>
          <w:numId w:val="4"/>
        </w:numPr>
        <w:shd w:val="clear" w:color="auto" w:fill="FFFFFF" w:themeFill="background1"/>
        <w:spacing w:after="0"/>
        <w:jc w:val="both"/>
        <w:rPr>
          <w:rFonts w:ascii="Arial" w:eastAsia="Arial" w:hAnsi="Arial" w:cs="Arial"/>
          <w:color w:val="222222"/>
          <w:sz w:val="20"/>
          <w:szCs w:val="20"/>
          <w:lang w:val="en-US"/>
        </w:rPr>
      </w:pPr>
      <w:r w:rsidRPr="00A370D3">
        <w:rPr>
          <w:rFonts w:ascii="Arial" w:eastAsia="Arial" w:hAnsi="Arial" w:cs="Arial"/>
          <w:color w:val="222222"/>
          <w:sz w:val="20"/>
          <w:szCs w:val="20"/>
          <w:lang w:val="en-US"/>
        </w:rPr>
        <w:t>Ensuring competition between suppliers</w:t>
      </w:r>
    </w:p>
    <w:p w14:paraId="046BA62A" w14:textId="640B6A15" w:rsidR="7EE3B601" w:rsidRPr="00C14204" w:rsidRDefault="7EE3B601" w:rsidP="00C14204">
      <w:pPr>
        <w:pStyle w:val="ListParagraph"/>
        <w:numPr>
          <w:ilvl w:val="0"/>
          <w:numId w:val="6"/>
        </w:numPr>
        <w:shd w:val="clear" w:color="auto" w:fill="FFFFFF" w:themeFill="background1"/>
        <w:spacing w:after="0"/>
        <w:jc w:val="both"/>
        <w:rPr>
          <w:rFonts w:ascii="Arial" w:eastAsia="Arial" w:hAnsi="Arial" w:cs="Arial"/>
          <w:color w:val="222222"/>
          <w:sz w:val="20"/>
          <w:szCs w:val="20"/>
          <w:lang w:val="en-US"/>
        </w:rPr>
      </w:pPr>
      <w:r w:rsidRPr="00C14204">
        <w:rPr>
          <w:rFonts w:ascii="Arial" w:eastAsia="Arial" w:hAnsi="Arial" w:cs="Arial"/>
          <w:color w:val="222222"/>
          <w:sz w:val="20"/>
          <w:szCs w:val="20"/>
          <w:lang w:val="en-US"/>
        </w:rPr>
        <w:t>The contract documents allow suppliers to participate in the procurement on a joint-activity basis or by using the capacities of economic operators. This ensures competition, as suppliers who do not have all the necessary capacity on their own can collaborate with other companies to submit competitive bids.</w:t>
      </w:r>
    </w:p>
    <w:p w14:paraId="041E93F0" w14:textId="399E3997" w:rsidR="7EE3B601" w:rsidRPr="00A370D3" w:rsidRDefault="7EE3B601" w:rsidP="00C14204">
      <w:pPr>
        <w:pStyle w:val="ListParagraph"/>
        <w:numPr>
          <w:ilvl w:val="0"/>
          <w:numId w:val="6"/>
        </w:numPr>
        <w:jc w:val="both"/>
        <w:rPr>
          <w:rFonts w:ascii="Arial" w:eastAsia="Arial" w:hAnsi="Arial" w:cs="Arial"/>
          <w:sz w:val="20"/>
          <w:szCs w:val="20"/>
        </w:rPr>
      </w:pPr>
      <w:r w:rsidRPr="00C14204">
        <w:rPr>
          <w:rFonts w:ascii="Arial" w:eastAsia="Arial" w:hAnsi="Arial" w:cs="Arial"/>
          <w:sz w:val="20"/>
          <w:szCs w:val="20"/>
        </w:rPr>
        <w:t>The terms of the contract do not restrict the right of suppliers to act jointly with subcontractors, thus ensuring that smaller players can participate.</w:t>
      </w:r>
    </w:p>
    <w:p w14:paraId="03FB0FA9" w14:textId="6D7C6C72" w:rsidR="003338BD" w:rsidRPr="00D16CA4" w:rsidRDefault="003338BD" w:rsidP="00F019E8">
      <w:pPr>
        <w:pStyle w:val="Sraopastraipa"/>
        <w:tabs>
          <w:tab w:val="left" w:pos="273"/>
        </w:tabs>
        <w:spacing w:after="0"/>
        <w:jc w:val="both"/>
        <w:rPr>
          <w:sz w:val="20"/>
          <w:szCs w:val="20"/>
        </w:rPr>
      </w:pPr>
    </w:p>
    <w:p w14:paraId="42309CEC" w14:textId="5959307F" w:rsidR="008E6BDC" w:rsidRDefault="008D2D3D" w:rsidP="008D2D3D">
      <w:pPr>
        <w:jc w:val="both"/>
        <w:rPr>
          <w:rFonts w:ascii="Arial" w:hAnsi="Arial" w:cs="Arial"/>
          <w:sz w:val="20"/>
          <w:szCs w:val="20"/>
        </w:rPr>
      </w:pPr>
      <w:r>
        <w:rPr>
          <w:rFonts w:ascii="Arial" w:hAnsi="Arial" w:cs="Arial"/>
          <w:sz w:val="20"/>
          <w:szCs w:val="20"/>
        </w:rPr>
        <w:lastRenderedPageBreak/>
        <w:t xml:space="preserve">           </w:t>
      </w:r>
      <w:r w:rsidRPr="00632B15">
        <w:rPr>
          <w:rFonts w:ascii="Arial" w:hAnsi="Arial" w:cs="Arial"/>
          <w:sz w:val="20"/>
          <w:szCs w:val="20"/>
        </w:rPr>
        <w:t xml:space="preserve">In accordance with Article 17 of the Public </w:t>
      </w:r>
      <w:r w:rsidR="00936795" w:rsidRPr="00936795">
        <w:rPr>
          <w:rFonts w:ascii="Arial" w:hAnsi="Arial" w:cs="Arial"/>
          <w:sz w:val="20"/>
          <w:szCs w:val="20"/>
        </w:rPr>
        <w:t xml:space="preserve">Procurement Principles  </w:t>
      </w:r>
      <w:r w:rsidR="002B14A3">
        <w:rPr>
          <w:rFonts w:ascii="Arial" w:hAnsi="Arial" w:cs="Arial"/>
          <w:sz w:val="20"/>
          <w:szCs w:val="20"/>
        </w:rPr>
        <w:t>- ,</w:t>
      </w:r>
      <w:r w:rsidRPr="00632B15">
        <w:rPr>
          <w:rFonts w:ascii="Arial" w:hAnsi="Arial" w:cs="Arial"/>
          <w:sz w:val="20"/>
          <w:szCs w:val="20"/>
        </w:rPr>
        <w:t xml:space="preserve"> principles of equal treatment, non-discrimination, mutual recognition, proportionality, transparency, </w:t>
      </w:r>
      <w:r w:rsidR="002B14A3" w:rsidRPr="00632B15">
        <w:rPr>
          <w:rFonts w:ascii="Arial" w:hAnsi="Arial" w:cs="Arial"/>
          <w:sz w:val="20"/>
          <w:szCs w:val="20"/>
        </w:rPr>
        <w:t xml:space="preserve">the contracting authority </w:t>
      </w:r>
      <w:r w:rsidRPr="00632B15">
        <w:rPr>
          <w:rFonts w:ascii="Arial" w:hAnsi="Arial" w:cs="Arial"/>
          <w:sz w:val="20"/>
          <w:szCs w:val="20"/>
        </w:rPr>
        <w:t xml:space="preserve">is obliged to seek rational use of the funds allocated for the purchase of services. </w:t>
      </w:r>
      <w:r w:rsidR="008E6BDC" w:rsidRPr="00632B15">
        <w:rPr>
          <w:rFonts w:ascii="Arial" w:hAnsi="Arial" w:cs="Arial"/>
          <w:sz w:val="20"/>
          <w:szCs w:val="20"/>
        </w:rPr>
        <w:t xml:space="preserve">The case-law notes that the </w:t>
      </w:r>
      <w:r w:rsidR="008E6BDC" w:rsidRPr="00632B15">
        <w:rPr>
          <w:rFonts w:ascii="Arial" w:hAnsi="Arial" w:cs="Arial"/>
          <w:sz w:val="20"/>
          <w:szCs w:val="20"/>
          <w:u w:val="single"/>
        </w:rPr>
        <w:t>usefulness and expediency of the division of the contract must be assessed on a case-by-case basis in the light of the circumstances, identifying the subject-matter of the contract and assessing the divisibility of the contract</w:t>
      </w:r>
      <w:r w:rsidR="008E6BDC" w:rsidRPr="00632B15">
        <w:rPr>
          <w:rFonts w:ascii="Arial" w:hAnsi="Arial" w:cs="Arial"/>
          <w:sz w:val="20"/>
          <w:szCs w:val="20"/>
        </w:rPr>
        <w:t xml:space="preserve">. In some cases, it is the splitting of the contract that may lead to a lower price for the works or services to be procured (for example, due to greater competition between suppliers), while </w:t>
      </w:r>
      <w:r w:rsidR="008E6BDC" w:rsidRPr="00632B15">
        <w:rPr>
          <w:rFonts w:ascii="Arial" w:hAnsi="Arial" w:cs="Arial"/>
          <w:sz w:val="20"/>
          <w:szCs w:val="20"/>
          <w:u w:val="single"/>
        </w:rPr>
        <w:t>in others it is the non-partitioning that may lead to a lower price, and the more cost-effective of the two models has to be assessed on a case-by-case basis</w:t>
      </w:r>
      <w:r w:rsidR="008E6BDC" w:rsidRPr="00632B15">
        <w:rPr>
          <w:rFonts w:ascii="Arial" w:hAnsi="Arial" w:cs="Arial"/>
          <w:sz w:val="20"/>
          <w:szCs w:val="20"/>
        </w:rPr>
        <w:t>.</w:t>
      </w:r>
      <w:r w:rsidR="008E6BDC">
        <w:rPr>
          <w:rStyle w:val="FootnoteReference"/>
          <w:rFonts w:ascii="Arial" w:hAnsi="Arial" w:cs="Arial"/>
          <w:sz w:val="20"/>
          <w:szCs w:val="20"/>
          <w:u w:val="single"/>
        </w:rPr>
        <w:footnoteReference w:id="2"/>
      </w:r>
      <w:r w:rsidR="008E6BDC" w:rsidRPr="00632B15">
        <w:rPr>
          <w:rFonts w:ascii="Arial" w:hAnsi="Arial" w:cs="Arial"/>
          <w:sz w:val="20"/>
          <w:szCs w:val="20"/>
        </w:rPr>
        <w:t xml:space="preserve"> . </w:t>
      </w:r>
    </w:p>
    <w:p w14:paraId="75A46541" w14:textId="7D81EEA7" w:rsidR="008D2D3D" w:rsidRDefault="008E6BDC" w:rsidP="008D2D3D">
      <w:pPr>
        <w:jc w:val="both"/>
        <w:rPr>
          <w:rFonts w:ascii="Arial" w:hAnsi="Arial" w:cs="Arial"/>
          <w:sz w:val="20"/>
          <w:szCs w:val="20"/>
        </w:rPr>
      </w:pPr>
      <w:r w:rsidRPr="00632B15">
        <w:rPr>
          <w:rFonts w:ascii="Arial" w:hAnsi="Arial" w:cs="Arial"/>
          <w:sz w:val="20"/>
          <w:szCs w:val="20"/>
        </w:rPr>
        <w:t xml:space="preserve">It has been consistently held in case law that the principle of proportionality, one of the principles of public procurement, is also of particular importance in assessing the justification for the merger. Even in cases where the merger of the lots will lead to a reduction in the number of tenderers, i.e. will prevent some suppliers from submitting tenders, it should not be considered unlawful if the merger is not only justified by important reasons, but is also necessary to achieve the contracting authority's objective, and could not be achieved by other means, such as the splitting up of the lots. </w:t>
      </w:r>
      <w:r w:rsidRPr="00632B15">
        <w:rPr>
          <w:rFonts w:ascii="Arial" w:hAnsi="Arial" w:cs="Arial"/>
          <w:sz w:val="20"/>
          <w:szCs w:val="20"/>
          <w:u w:val="single"/>
        </w:rPr>
        <w:t>Therefore, the requirement in the Law on Public Procurement to ensure equal conditions for all suppliers to participate in procurement procedures and the prohibition to discriminate against them or to restrict competition cannot be understood as absolute, but any potential or actual restriction by the contracting authority on the participation of suppliers in a procurement procedure must comply with the criteria of reasonableness and justification of such restriction</w:t>
      </w:r>
      <w:r>
        <w:rPr>
          <w:rFonts w:ascii="Arial" w:hAnsi="Arial" w:cs="Arial"/>
          <w:sz w:val="20"/>
          <w:szCs w:val="20"/>
        </w:rPr>
        <w:t>.</w:t>
      </w:r>
      <w:r>
        <w:rPr>
          <w:rStyle w:val="FootnoteReference"/>
          <w:rFonts w:ascii="Arial" w:hAnsi="Arial" w:cs="Arial"/>
          <w:sz w:val="20"/>
          <w:szCs w:val="20"/>
          <w:u w:val="single"/>
        </w:rPr>
        <w:footnoteReference w:id="3"/>
      </w:r>
      <w:r>
        <w:rPr>
          <w:rFonts w:ascii="Arial" w:hAnsi="Arial" w:cs="Arial"/>
          <w:sz w:val="20"/>
          <w:szCs w:val="20"/>
        </w:rPr>
        <w:t xml:space="preserve"> .</w:t>
      </w:r>
    </w:p>
    <w:p w14:paraId="3B8F9C1F" w14:textId="46069A51" w:rsidR="004A72EF" w:rsidRPr="004A72EF" w:rsidRDefault="00C107CE" w:rsidP="004A72EF">
      <w:pPr>
        <w:jc w:val="both"/>
        <w:rPr>
          <w:rFonts w:ascii="Arial" w:hAnsi="Arial" w:cs="Arial"/>
          <w:sz w:val="20"/>
          <w:szCs w:val="20"/>
        </w:rPr>
      </w:pPr>
      <w:r>
        <w:rPr>
          <w:rFonts w:ascii="Arial" w:hAnsi="Arial" w:cs="Arial"/>
          <w:sz w:val="20"/>
          <w:szCs w:val="20"/>
        </w:rPr>
        <w:t xml:space="preserve">         </w:t>
      </w:r>
      <w:r w:rsidR="00CC005B" w:rsidRPr="00CC005B">
        <w:rPr>
          <w:rFonts w:ascii="Arial" w:hAnsi="Arial" w:cs="Arial"/>
          <w:sz w:val="20"/>
          <w:szCs w:val="20"/>
        </w:rPr>
        <w:t>In this context, the Company, having considered the specificities of the subject-matter of the Procurement and the market situation, has decided not to divide the subject-matter of the Procurement into lots.</w:t>
      </w:r>
      <w:r w:rsidR="004A72EF" w:rsidRPr="004A72EF">
        <w:rPr>
          <w:rFonts w:ascii="Arial" w:hAnsi="Arial" w:cs="Arial"/>
          <w:sz w:val="20"/>
          <w:szCs w:val="20"/>
        </w:rPr>
        <w:t>This decision is based on:</w:t>
      </w:r>
    </w:p>
    <w:p w14:paraId="0F6528C8"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The technical indivisibility of the subject of the purchase and the need to ensure system compatibility;</w:t>
      </w:r>
    </w:p>
    <w:p w14:paraId="36DA3A21"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Economies of scale to optimise costs and reduce bid prices;</w:t>
      </w:r>
    </w:p>
    <w:p w14:paraId="6CF4C3AD"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Reducing administrative costs and effectively managing project implementation;</w:t>
      </w:r>
    </w:p>
    <w:p w14:paraId="0503ACD3" w14:textId="77777777" w:rsidR="004A72EF" w:rsidRPr="004A72EF" w:rsidRDefault="004A72EF" w:rsidP="004A72EF">
      <w:pPr>
        <w:numPr>
          <w:ilvl w:val="0"/>
          <w:numId w:val="13"/>
        </w:numPr>
        <w:jc w:val="both"/>
        <w:rPr>
          <w:rFonts w:ascii="Arial" w:hAnsi="Arial" w:cs="Arial"/>
          <w:sz w:val="20"/>
          <w:szCs w:val="20"/>
        </w:rPr>
      </w:pPr>
      <w:r w:rsidRPr="004A72EF">
        <w:rPr>
          <w:rFonts w:ascii="Arial" w:hAnsi="Arial" w:cs="Arial"/>
          <w:sz w:val="20"/>
          <w:szCs w:val="20"/>
        </w:rPr>
        <w:t>Reducing the risk of sharing responsibility between suppliers;</w:t>
      </w:r>
    </w:p>
    <w:p w14:paraId="7909E08F" w14:textId="2D4D5ECB" w:rsidR="004A72EF" w:rsidRPr="004A72EF" w:rsidRDefault="00FF31D7" w:rsidP="004A72EF">
      <w:pPr>
        <w:numPr>
          <w:ilvl w:val="0"/>
          <w:numId w:val="13"/>
        </w:numPr>
        <w:jc w:val="both"/>
        <w:rPr>
          <w:rFonts w:ascii="Arial" w:hAnsi="Arial" w:cs="Arial"/>
          <w:sz w:val="20"/>
          <w:szCs w:val="20"/>
        </w:rPr>
      </w:pPr>
      <w:r>
        <w:rPr>
          <w:rFonts w:ascii="Arial" w:hAnsi="Arial" w:cs="Arial"/>
          <w:sz w:val="20"/>
          <w:szCs w:val="20"/>
        </w:rPr>
        <w:t xml:space="preserve">Ensuring </w:t>
      </w:r>
      <w:r w:rsidR="004A72EF" w:rsidRPr="004A72EF">
        <w:rPr>
          <w:rFonts w:ascii="Arial" w:hAnsi="Arial" w:cs="Arial"/>
          <w:sz w:val="20"/>
          <w:szCs w:val="20"/>
        </w:rPr>
        <w:t>competition by enabling suppliers to cooperate and use partners.</w:t>
      </w:r>
    </w:p>
    <w:p w14:paraId="0AF8B9D9" w14:textId="29970317" w:rsidR="004A72EF" w:rsidRPr="004A72EF" w:rsidRDefault="004A72EF" w:rsidP="004A72EF">
      <w:pPr>
        <w:jc w:val="both"/>
        <w:rPr>
          <w:rFonts w:ascii="Arial" w:hAnsi="Arial" w:cs="Arial"/>
          <w:sz w:val="20"/>
          <w:szCs w:val="20"/>
        </w:rPr>
      </w:pPr>
      <w:r w:rsidRPr="004A72EF">
        <w:rPr>
          <w:rFonts w:ascii="Arial" w:hAnsi="Arial" w:cs="Arial"/>
          <w:sz w:val="20"/>
          <w:szCs w:val="20"/>
        </w:rPr>
        <w:t xml:space="preserve">On the basis of this justification, the Company shall ensure that the non-disaggregation of the  is economically and technically sound and does not contravene the provisions of the </w:t>
      </w:r>
      <w:r w:rsidR="008A18E4">
        <w:rPr>
          <w:rFonts w:ascii="Arial" w:hAnsi="Arial" w:cs="Arial"/>
          <w:sz w:val="20"/>
          <w:szCs w:val="20"/>
        </w:rPr>
        <w:t>PPL</w:t>
      </w:r>
      <w:r w:rsidR="00412606">
        <w:rPr>
          <w:rFonts w:ascii="Arial" w:hAnsi="Arial" w:cs="Arial"/>
          <w:sz w:val="20"/>
          <w:szCs w:val="20"/>
        </w:rPr>
        <w:t>.</w:t>
      </w:r>
    </w:p>
    <w:p w14:paraId="36B6EAE3" w14:textId="097BAC40" w:rsidR="0052510E" w:rsidRDefault="0052510E" w:rsidP="0052510E">
      <w:pPr>
        <w:contextualSpacing/>
        <w:jc w:val="both"/>
        <w:rPr>
          <w:rFonts w:ascii="Arial" w:hAnsi="Arial" w:cs="Arial"/>
          <w:sz w:val="20"/>
          <w:szCs w:val="20"/>
        </w:rPr>
      </w:pPr>
      <w:r>
        <w:rPr>
          <w:rFonts w:ascii="Arial" w:hAnsi="Arial" w:cs="Arial"/>
          <w:sz w:val="20"/>
          <w:szCs w:val="20"/>
        </w:rPr>
        <w:t xml:space="preserve">        </w:t>
      </w:r>
    </w:p>
    <w:p w14:paraId="5B248223" w14:textId="77777777" w:rsidR="00C11DE9" w:rsidRPr="00632B15" w:rsidRDefault="00C11DE9" w:rsidP="0052510E">
      <w:pPr>
        <w:contextualSpacing/>
        <w:jc w:val="both"/>
        <w:rPr>
          <w:rFonts w:ascii="Arial" w:hAnsi="Arial" w:cs="Arial"/>
          <w:sz w:val="20"/>
          <w:szCs w:val="20"/>
        </w:rPr>
      </w:pPr>
    </w:p>
    <w:p w14:paraId="0DEA9300" w14:textId="061F94DA" w:rsidR="00A00EFB" w:rsidRPr="00632B15" w:rsidRDefault="00C11DE9" w:rsidP="008D2D3D">
      <w:pPr>
        <w:contextualSpacing/>
        <w:jc w:val="both"/>
        <w:rPr>
          <w:rFonts w:ascii="Arial" w:hAnsi="Arial" w:cs="Arial"/>
          <w:sz w:val="20"/>
          <w:szCs w:val="20"/>
        </w:rPr>
      </w:pPr>
      <w:r>
        <w:rPr>
          <w:rFonts w:ascii="Arial" w:hAnsi="Arial" w:cs="Arial"/>
          <w:sz w:val="20"/>
          <w:szCs w:val="20"/>
        </w:rPr>
        <w:t xml:space="preserve">        </w:t>
      </w:r>
    </w:p>
    <w:p w14:paraId="300DE530" w14:textId="77777777" w:rsidR="00B37B72" w:rsidRDefault="00B37B72" w:rsidP="00B37B72">
      <w:pPr>
        <w:contextualSpacing/>
        <w:jc w:val="both"/>
        <w:rPr>
          <w:rFonts w:ascii="Arial" w:hAnsi="Arial" w:cs="Arial"/>
          <w:sz w:val="20"/>
          <w:szCs w:val="20"/>
        </w:rPr>
      </w:pPr>
    </w:p>
    <w:p w14:paraId="3958A00F" w14:textId="0680F210" w:rsidR="00B37B72" w:rsidRPr="00632B15" w:rsidRDefault="00B37B72" w:rsidP="00B37B72">
      <w:pPr>
        <w:contextualSpacing/>
        <w:jc w:val="both"/>
        <w:rPr>
          <w:rFonts w:ascii="Arial" w:hAnsi="Arial" w:cs="Arial"/>
          <w:sz w:val="20"/>
          <w:szCs w:val="20"/>
        </w:rPr>
      </w:pPr>
      <w:r>
        <w:rPr>
          <w:rFonts w:ascii="Arial" w:hAnsi="Arial" w:cs="Arial"/>
          <w:sz w:val="20"/>
          <w:szCs w:val="20"/>
        </w:rPr>
        <w:t xml:space="preserve">         </w:t>
      </w:r>
    </w:p>
    <w:p w14:paraId="18013312" w14:textId="77777777" w:rsidR="00B37B72" w:rsidRPr="00632B15" w:rsidRDefault="00B37B72" w:rsidP="00B37B72">
      <w:pPr>
        <w:contextualSpacing/>
        <w:jc w:val="both"/>
        <w:rPr>
          <w:rFonts w:ascii="Arial" w:hAnsi="Arial" w:cs="Arial"/>
          <w:sz w:val="20"/>
          <w:szCs w:val="20"/>
        </w:rPr>
      </w:pPr>
    </w:p>
    <w:p w14:paraId="6455706A" w14:textId="754F2CED" w:rsidR="00746CFE" w:rsidRDefault="00B37B72" w:rsidP="00B37B72">
      <w:pPr>
        <w:pStyle w:val="Sraopastraipa"/>
        <w:tabs>
          <w:tab w:val="left" w:pos="993"/>
        </w:tabs>
        <w:spacing w:after="0"/>
        <w:ind w:left="0"/>
        <w:jc w:val="both"/>
        <w:rPr>
          <w:rFonts w:ascii="Arial" w:hAnsi="Arial" w:cs="Arial"/>
          <w:sz w:val="20"/>
          <w:szCs w:val="20"/>
        </w:rPr>
      </w:pPr>
      <w:r>
        <w:rPr>
          <w:rFonts w:ascii="Arial" w:hAnsi="Arial" w:cs="Arial"/>
          <w:sz w:val="20"/>
          <w:szCs w:val="20"/>
        </w:rPr>
        <w:t xml:space="preserve">          </w:t>
      </w:r>
    </w:p>
    <w:p w14:paraId="150F82DB" w14:textId="77777777" w:rsidR="005E76EF" w:rsidRDefault="005E76EF" w:rsidP="00B37B72">
      <w:pPr>
        <w:pStyle w:val="Sraopastraipa"/>
        <w:tabs>
          <w:tab w:val="left" w:pos="993"/>
        </w:tabs>
        <w:spacing w:after="0"/>
        <w:ind w:left="0"/>
        <w:jc w:val="both"/>
        <w:rPr>
          <w:rFonts w:ascii="Arial" w:hAnsi="Arial" w:cs="Arial"/>
          <w:sz w:val="20"/>
          <w:szCs w:val="20"/>
        </w:rPr>
      </w:pPr>
    </w:p>
    <w:p w14:paraId="5D06C3EA" w14:textId="7F2CF6BA" w:rsidR="005E76EF" w:rsidRPr="00632B15" w:rsidRDefault="005E76EF" w:rsidP="005E76EF">
      <w:pPr>
        <w:contextualSpacing/>
        <w:jc w:val="both"/>
        <w:rPr>
          <w:rFonts w:ascii="Arial" w:hAnsi="Arial" w:cs="Arial"/>
          <w:sz w:val="20"/>
          <w:szCs w:val="20"/>
        </w:rPr>
      </w:pPr>
      <w:r>
        <w:rPr>
          <w:rFonts w:ascii="Arial" w:hAnsi="Arial" w:cs="Arial"/>
          <w:sz w:val="20"/>
          <w:szCs w:val="20"/>
        </w:rPr>
        <w:t xml:space="preserve">        </w:t>
      </w:r>
      <w:r w:rsidRPr="00632B15">
        <w:rPr>
          <w:rFonts w:ascii="Arial" w:hAnsi="Arial" w:cs="Arial"/>
          <w:sz w:val="20"/>
          <w:szCs w:val="20"/>
        </w:rPr>
        <w:t>.</w:t>
      </w:r>
    </w:p>
    <w:p w14:paraId="390630B7" w14:textId="6796D45A" w:rsidR="005E76EF" w:rsidRPr="00DE1A37" w:rsidRDefault="005E76EF" w:rsidP="00B37B72">
      <w:pPr>
        <w:pStyle w:val="Sraopastraipa"/>
        <w:tabs>
          <w:tab w:val="left" w:pos="993"/>
        </w:tabs>
        <w:spacing w:after="0"/>
        <w:ind w:left="0"/>
        <w:jc w:val="both"/>
        <w:rPr>
          <w:rFonts w:ascii="Arial" w:hAnsi="Arial" w:cs="Arial"/>
        </w:rPr>
      </w:pPr>
    </w:p>
    <w:sectPr w:rsidR="005E76EF" w:rsidRPr="00DE1A37">
      <w:pgSz w:w="11906" w:h="16838"/>
      <w:pgMar w:top="993" w:right="567" w:bottom="42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2D78B" w14:textId="77777777" w:rsidR="00460D4C" w:rsidRDefault="00460D4C">
      <w:pPr>
        <w:spacing w:after="0"/>
      </w:pPr>
      <w:r>
        <w:separator/>
      </w:r>
    </w:p>
  </w:endnote>
  <w:endnote w:type="continuationSeparator" w:id="0">
    <w:p w14:paraId="6C69CEA9" w14:textId="77777777" w:rsidR="00460D4C" w:rsidRDefault="00460D4C">
      <w:pPr>
        <w:spacing w:after="0"/>
      </w:pPr>
      <w:r>
        <w:continuationSeparator/>
      </w:r>
    </w:p>
  </w:endnote>
  <w:endnote w:type="continuationNotice" w:id="1">
    <w:p w14:paraId="147C9BEC" w14:textId="77777777" w:rsidR="00460D4C" w:rsidRDefault="00460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5CA6D" w14:textId="77777777" w:rsidR="00460D4C" w:rsidRDefault="00460D4C">
      <w:pPr>
        <w:spacing w:after="0"/>
      </w:pPr>
      <w:r>
        <w:rPr>
          <w:color w:val="000000"/>
        </w:rPr>
        <w:separator/>
      </w:r>
    </w:p>
  </w:footnote>
  <w:footnote w:type="continuationSeparator" w:id="0">
    <w:p w14:paraId="2A964C7A" w14:textId="77777777" w:rsidR="00460D4C" w:rsidRDefault="00460D4C">
      <w:pPr>
        <w:spacing w:after="0"/>
      </w:pPr>
      <w:r>
        <w:continuationSeparator/>
      </w:r>
    </w:p>
  </w:footnote>
  <w:footnote w:type="continuationNotice" w:id="1">
    <w:p w14:paraId="2D80A898" w14:textId="77777777" w:rsidR="00460D4C" w:rsidRDefault="00460D4C">
      <w:pPr>
        <w:spacing w:after="0"/>
      </w:pPr>
    </w:p>
  </w:footnote>
  <w:footnote w:id="2">
    <w:p w14:paraId="6780E29B" w14:textId="77777777" w:rsidR="008E6BDC" w:rsidRDefault="008E6BDC" w:rsidP="008E6BDC">
      <w:pPr>
        <w:pStyle w:val="FootnoteText"/>
      </w:pPr>
      <w:r>
        <w:rPr>
          <w:rStyle w:val="FootnoteReference"/>
        </w:rPr>
        <w:footnoteRef/>
      </w:r>
      <w:r w:rsidRPr="00B37B72">
        <w:rPr>
          <w:rFonts w:ascii="Arial" w:hAnsi="Arial" w:cs="Arial"/>
          <w:sz w:val="18"/>
          <w:szCs w:val="18"/>
        </w:rPr>
        <w:t xml:space="preserve"> Klaipėda Regional Court decision of 2016-05-03 in civil case No e2-1113-826/2016, Lithuanian Court of Appeal ruling of 2015-09-11 in civil case No e2A-989-236/2015.</w:t>
      </w:r>
    </w:p>
  </w:footnote>
  <w:footnote w:id="3">
    <w:p w14:paraId="0F5DD986" w14:textId="77777777" w:rsidR="008E6BDC" w:rsidRDefault="008E6BDC" w:rsidP="008E6BDC">
      <w:pPr>
        <w:pStyle w:val="FootnoteText"/>
      </w:pPr>
      <w:r>
        <w:rPr>
          <w:rStyle w:val="FootnoteReference"/>
        </w:rPr>
        <w:footnoteRef/>
      </w:r>
      <w:r w:rsidRPr="00B37B72">
        <w:rPr>
          <w:rFonts w:ascii="Arial" w:hAnsi="Arial" w:cs="Arial"/>
          <w:color w:val="000000"/>
          <w:sz w:val="18"/>
          <w:szCs w:val="18"/>
        </w:rPr>
        <w:t xml:space="preserve"> Resolution of the Supreme Court of Lithuania of 4 May 2010 in civil case No 3K-3-126/2010.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0FFEB"/>
    <w:multiLevelType w:val="hybridMultilevel"/>
    <w:tmpl w:val="FFFFFFFF"/>
    <w:lvl w:ilvl="0" w:tplc="7098FB44">
      <w:start w:val="1"/>
      <w:numFmt w:val="bullet"/>
      <w:lvlText w:val=""/>
      <w:lvlJc w:val="left"/>
      <w:pPr>
        <w:ind w:left="1080" w:hanging="360"/>
      </w:pPr>
      <w:rPr>
        <w:rFonts w:ascii="Symbol" w:hAnsi="Symbol" w:hint="default"/>
      </w:rPr>
    </w:lvl>
    <w:lvl w:ilvl="1" w:tplc="07467C4A">
      <w:start w:val="1"/>
      <w:numFmt w:val="bullet"/>
      <w:lvlText w:val="o"/>
      <w:lvlJc w:val="left"/>
      <w:pPr>
        <w:ind w:left="1800" w:hanging="360"/>
      </w:pPr>
      <w:rPr>
        <w:rFonts w:ascii="Courier New" w:hAnsi="Courier New" w:hint="default"/>
      </w:rPr>
    </w:lvl>
    <w:lvl w:ilvl="2" w:tplc="7ED08900">
      <w:start w:val="1"/>
      <w:numFmt w:val="bullet"/>
      <w:lvlText w:val=""/>
      <w:lvlJc w:val="left"/>
      <w:pPr>
        <w:ind w:left="2520" w:hanging="360"/>
      </w:pPr>
      <w:rPr>
        <w:rFonts w:ascii="Wingdings" w:hAnsi="Wingdings" w:hint="default"/>
      </w:rPr>
    </w:lvl>
    <w:lvl w:ilvl="3" w:tplc="5D363B8E">
      <w:start w:val="1"/>
      <w:numFmt w:val="bullet"/>
      <w:lvlText w:val=""/>
      <w:lvlJc w:val="left"/>
      <w:pPr>
        <w:ind w:left="3240" w:hanging="360"/>
      </w:pPr>
      <w:rPr>
        <w:rFonts w:ascii="Symbol" w:hAnsi="Symbol" w:hint="default"/>
      </w:rPr>
    </w:lvl>
    <w:lvl w:ilvl="4" w:tplc="1B7CBFE6">
      <w:start w:val="1"/>
      <w:numFmt w:val="bullet"/>
      <w:lvlText w:val="o"/>
      <w:lvlJc w:val="left"/>
      <w:pPr>
        <w:ind w:left="3960" w:hanging="360"/>
      </w:pPr>
      <w:rPr>
        <w:rFonts w:ascii="Courier New" w:hAnsi="Courier New" w:hint="default"/>
      </w:rPr>
    </w:lvl>
    <w:lvl w:ilvl="5" w:tplc="9146D08A">
      <w:start w:val="1"/>
      <w:numFmt w:val="bullet"/>
      <w:lvlText w:val=""/>
      <w:lvlJc w:val="left"/>
      <w:pPr>
        <w:ind w:left="4680" w:hanging="360"/>
      </w:pPr>
      <w:rPr>
        <w:rFonts w:ascii="Wingdings" w:hAnsi="Wingdings" w:hint="default"/>
      </w:rPr>
    </w:lvl>
    <w:lvl w:ilvl="6" w:tplc="E0301B1E">
      <w:start w:val="1"/>
      <w:numFmt w:val="bullet"/>
      <w:lvlText w:val=""/>
      <w:lvlJc w:val="left"/>
      <w:pPr>
        <w:ind w:left="5400" w:hanging="360"/>
      </w:pPr>
      <w:rPr>
        <w:rFonts w:ascii="Symbol" w:hAnsi="Symbol" w:hint="default"/>
      </w:rPr>
    </w:lvl>
    <w:lvl w:ilvl="7" w:tplc="D4E27F70">
      <w:start w:val="1"/>
      <w:numFmt w:val="bullet"/>
      <w:lvlText w:val="o"/>
      <w:lvlJc w:val="left"/>
      <w:pPr>
        <w:ind w:left="6120" w:hanging="360"/>
      </w:pPr>
      <w:rPr>
        <w:rFonts w:ascii="Courier New" w:hAnsi="Courier New" w:hint="default"/>
      </w:rPr>
    </w:lvl>
    <w:lvl w:ilvl="8" w:tplc="600078C6">
      <w:start w:val="1"/>
      <w:numFmt w:val="bullet"/>
      <w:lvlText w:val=""/>
      <w:lvlJc w:val="left"/>
      <w:pPr>
        <w:ind w:left="6840" w:hanging="360"/>
      </w:pPr>
      <w:rPr>
        <w:rFonts w:ascii="Wingdings" w:hAnsi="Wingdings" w:hint="default"/>
      </w:rPr>
    </w:lvl>
  </w:abstractNum>
  <w:abstractNum w:abstractNumId="1" w15:restartNumberingAfterBreak="0">
    <w:nsid w:val="2D8BA406"/>
    <w:multiLevelType w:val="hybridMultilevel"/>
    <w:tmpl w:val="FFFFFFFF"/>
    <w:lvl w:ilvl="0" w:tplc="2ADED030">
      <w:start w:val="1"/>
      <w:numFmt w:val="bullet"/>
      <w:lvlText w:val=""/>
      <w:lvlJc w:val="left"/>
      <w:pPr>
        <w:ind w:left="1080" w:hanging="360"/>
      </w:pPr>
      <w:rPr>
        <w:rFonts w:ascii="Symbol" w:hAnsi="Symbol" w:hint="default"/>
      </w:rPr>
    </w:lvl>
    <w:lvl w:ilvl="1" w:tplc="45761926">
      <w:start w:val="1"/>
      <w:numFmt w:val="bullet"/>
      <w:lvlText w:val="o"/>
      <w:lvlJc w:val="left"/>
      <w:pPr>
        <w:ind w:left="1800" w:hanging="360"/>
      </w:pPr>
      <w:rPr>
        <w:rFonts w:ascii="Courier New" w:hAnsi="Courier New" w:hint="default"/>
      </w:rPr>
    </w:lvl>
    <w:lvl w:ilvl="2" w:tplc="35FEC47E">
      <w:start w:val="1"/>
      <w:numFmt w:val="bullet"/>
      <w:lvlText w:val=""/>
      <w:lvlJc w:val="left"/>
      <w:pPr>
        <w:ind w:left="2520" w:hanging="360"/>
      </w:pPr>
      <w:rPr>
        <w:rFonts w:ascii="Wingdings" w:hAnsi="Wingdings" w:hint="default"/>
      </w:rPr>
    </w:lvl>
    <w:lvl w:ilvl="3" w:tplc="A356C7F0">
      <w:start w:val="1"/>
      <w:numFmt w:val="bullet"/>
      <w:lvlText w:val=""/>
      <w:lvlJc w:val="left"/>
      <w:pPr>
        <w:ind w:left="3240" w:hanging="360"/>
      </w:pPr>
      <w:rPr>
        <w:rFonts w:ascii="Symbol" w:hAnsi="Symbol" w:hint="default"/>
      </w:rPr>
    </w:lvl>
    <w:lvl w:ilvl="4" w:tplc="BDB4564E">
      <w:start w:val="1"/>
      <w:numFmt w:val="bullet"/>
      <w:lvlText w:val="o"/>
      <w:lvlJc w:val="left"/>
      <w:pPr>
        <w:ind w:left="3960" w:hanging="360"/>
      </w:pPr>
      <w:rPr>
        <w:rFonts w:ascii="Courier New" w:hAnsi="Courier New" w:hint="default"/>
      </w:rPr>
    </w:lvl>
    <w:lvl w:ilvl="5" w:tplc="4FB8CF38">
      <w:start w:val="1"/>
      <w:numFmt w:val="bullet"/>
      <w:lvlText w:val=""/>
      <w:lvlJc w:val="left"/>
      <w:pPr>
        <w:ind w:left="4680" w:hanging="360"/>
      </w:pPr>
      <w:rPr>
        <w:rFonts w:ascii="Wingdings" w:hAnsi="Wingdings" w:hint="default"/>
      </w:rPr>
    </w:lvl>
    <w:lvl w:ilvl="6" w:tplc="51D011E0">
      <w:start w:val="1"/>
      <w:numFmt w:val="bullet"/>
      <w:lvlText w:val=""/>
      <w:lvlJc w:val="left"/>
      <w:pPr>
        <w:ind w:left="5400" w:hanging="360"/>
      </w:pPr>
      <w:rPr>
        <w:rFonts w:ascii="Symbol" w:hAnsi="Symbol" w:hint="default"/>
      </w:rPr>
    </w:lvl>
    <w:lvl w:ilvl="7" w:tplc="0C6E44A0">
      <w:start w:val="1"/>
      <w:numFmt w:val="bullet"/>
      <w:lvlText w:val="o"/>
      <w:lvlJc w:val="left"/>
      <w:pPr>
        <w:ind w:left="6120" w:hanging="360"/>
      </w:pPr>
      <w:rPr>
        <w:rFonts w:ascii="Courier New" w:hAnsi="Courier New" w:hint="default"/>
      </w:rPr>
    </w:lvl>
    <w:lvl w:ilvl="8" w:tplc="2FB22A9C">
      <w:start w:val="1"/>
      <w:numFmt w:val="bullet"/>
      <w:lvlText w:val=""/>
      <w:lvlJc w:val="left"/>
      <w:pPr>
        <w:ind w:left="6840" w:hanging="360"/>
      </w:pPr>
      <w:rPr>
        <w:rFonts w:ascii="Wingdings" w:hAnsi="Wingdings" w:hint="default"/>
      </w:rPr>
    </w:lvl>
  </w:abstractNum>
  <w:abstractNum w:abstractNumId="2" w15:restartNumberingAfterBreak="0">
    <w:nsid w:val="32C30D99"/>
    <w:multiLevelType w:val="multilevel"/>
    <w:tmpl w:val="9C782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86A116"/>
    <w:multiLevelType w:val="hybridMultilevel"/>
    <w:tmpl w:val="FFFFFFFF"/>
    <w:lvl w:ilvl="0" w:tplc="FF7CF4FC">
      <w:start w:val="1"/>
      <w:numFmt w:val="bullet"/>
      <w:lvlText w:val=""/>
      <w:lvlJc w:val="left"/>
      <w:pPr>
        <w:ind w:left="720" w:hanging="360"/>
      </w:pPr>
      <w:rPr>
        <w:rFonts w:ascii="Symbol" w:hAnsi="Symbol" w:hint="default"/>
      </w:rPr>
    </w:lvl>
    <w:lvl w:ilvl="1" w:tplc="117C190C">
      <w:start w:val="1"/>
      <w:numFmt w:val="bullet"/>
      <w:lvlText w:val="o"/>
      <w:lvlJc w:val="left"/>
      <w:pPr>
        <w:ind w:left="1440" w:hanging="360"/>
      </w:pPr>
      <w:rPr>
        <w:rFonts w:ascii="Courier New" w:hAnsi="Courier New" w:hint="default"/>
      </w:rPr>
    </w:lvl>
    <w:lvl w:ilvl="2" w:tplc="67489D32">
      <w:start w:val="1"/>
      <w:numFmt w:val="bullet"/>
      <w:lvlText w:val=""/>
      <w:lvlJc w:val="left"/>
      <w:pPr>
        <w:ind w:left="2160" w:hanging="360"/>
      </w:pPr>
      <w:rPr>
        <w:rFonts w:ascii="Wingdings" w:hAnsi="Wingdings" w:hint="default"/>
      </w:rPr>
    </w:lvl>
    <w:lvl w:ilvl="3" w:tplc="ECD8D550">
      <w:start w:val="1"/>
      <w:numFmt w:val="bullet"/>
      <w:lvlText w:val=""/>
      <w:lvlJc w:val="left"/>
      <w:pPr>
        <w:ind w:left="2880" w:hanging="360"/>
      </w:pPr>
      <w:rPr>
        <w:rFonts w:ascii="Symbol" w:hAnsi="Symbol" w:hint="default"/>
      </w:rPr>
    </w:lvl>
    <w:lvl w:ilvl="4" w:tplc="15D4DA3E">
      <w:start w:val="1"/>
      <w:numFmt w:val="bullet"/>
      <w:lvlText w:val="o"/>
      <w:lvlJc w:val="left"/>
      <w:pPr>
        <w:ind w:left="3600" w:hanging="360"/>
      </w:pPr>
      <w:rPr>
        <w:rFonts w:ascii="Courier New" w:hAnsi="Courier New" w:hint="default"/>
      </w:rPr>
    </w:lvl>
    <w:lvl w:ilvl="5" w:tplc="F5707C12">
      <w:start w:val="1"/>
      <w:numFmt w:val="bullet"/>
      <w:lvlText w:val=""/>
      <w:lvlJc w:val="left"/>
      <w:pPr>
        <w:ind w:left="4320" w:hanging="360"/>
      </w:pPr>
      <w:rPr>
        <w:rFonts w:ascii="Wingdings" w:hAnsi="Wingdings" w:hint="default"/>
      </w:rPr>
    </w:lvl>
    <w:lvl w:ilvl="6" w:tplc="3644183E">
      <w:start w:val="1"/>
      <w:numFmt w:val="bullet"/>
      <w:lvlText w:val=""/>
      <w:lvlJc w:val="left"/>
      <w:pPr>
        <w:ind w:left="5040" w:hanging="360"/>
      </w:pPr>
      <w:rPr>
        <w:rFonts w:ascii="Symbol" w:hAnsi="Symbol" w:hint="default"/>
      </w:rPr>
    </w:lvl>
    <w:lvl w:ilvl="7" w:tplc="63F642FA">
      <w:start w:val="1"/>
      <w:numFmt w:val="bullet"/>
      <w:lvlText w:val="o"/>
      <w:lvlJc w:val="left"/>
      <w:pPr>
        <w:ind w:left="5760" w:hanging="360"/>
      </w:pPr>
      <w:rPr>
        <w:rFonts w:ascii="Courier New" w:hAnsi="Courier New" w:hint="default"/>
      </w:rPr>
    </w:lvl>
    <w:lvl w:ilvl="8" w:tplc="E01E7ACE">
      <w:start w:val="1"/>
      <w:numFmt w:val="bullet"/>
      <w:lvlText w:val=""/>
      <w:lvlJc w:val="left"/>
      <w:pPr>
        <w:ind w:left="6480" w:hanging="360"/>
      </w:pPr>
      <w:rPr>
        <w:rFonts w:ascii="Wingdings" w:hAnsi="Wingdings" w:hint="default"/>
      </w:rPr>
    </w:lvl>
  </w:abstractNum>
  <w:abstractNum w:abstractNumId="4" w15:restartNumberingAfterBreak="0">
    <w:nsid w:val="36F048FC"/>
    <w:multiLevelType w:val="hybridMultilevel"/>
    <w:tmpl w:val="5F70B80E"/>
    <w:lvl w:ilvl="0" w:tplc="04270001">
      <w:start w:val="1"/>
      <w:numFmt w:val="bullet"/>
      <w:lvlText w:val=""/>
      <w:lvlJc w:val="left"/>
      <w:pPr>
        <w:ind w:left="1330" w:hanging="360"/>
      </w:pPr>
      <w:rPr>
        <w:rFonts w:ascii="Symbol" w:hAnsi="Symbol" w:hint="default"/>
      </w:rPr>
    </w:lvl>
    <w:lvl w:ilvl="1" w:tplc="04270003" w:tentative="1">
      <w:start w:val="1"/>
      <w:numFmt w:val="bullet"/>
      <w:lvlText w:val="o"/>
      <w:lvlJc w:val="left"/>
      <w:pPr>
        <w:ind w:left="2050" w:hanging="360"/>
      </w:pPr>
      <w:rPr>
        <w:rFonts w:ascii="Courier New" w:hAnsi="Courier New" w:cs="Courier New" w:hint="default"/>
      </w:rPr>
    </w:lvl>
    <w:lvl w:ilvl="2" w:tplc="04270005" w:tentative="1">
      <w:start w:val="1"/>
      <w:numFmt w:val="bullet"/>
      <w:lvlText w:val=""/>
      <w:lvlJc w:val="left"/>
      <w:pPr>
        <w:ind w:left="2770" w:hanging="360"/>
      </w:pPr>
      <w:rPr>
        <w:rFonts w:ascii="Wingdings" w:hAnsi="Wingdings" w:hint="default"/>
      </w:rPr>
    </w:lvl>
    <w:lvl w:ilvl="3" w:tplc="04270001" w:tentative="1">
      <w:start w:val="1"/>
      <w:numFmt w:val="bullet"/>
      <w:lvlText w:val=""/>
      <w:lvlJc w:val="left"/>
      <w:pPr>
        <w:ind w:left="3490" w:hanging="360"/>
      </w:pPr>
      <w:rPr>
        <w:rFonts w:ascii="Symbol" w:hAnsi="Symbol" w:hint="default"/>
      </w:rPr>
    </w:lvl>
    <w:lvl w:ilvl="4" w:tplc="04270003" w:tentative="1">
      <w:start w:val="1"/>
      <w:numFmt w:val="bullet"/>
      <w:lvlText w:val="o"/>
      <w:lvlJc w:val="left"/>
      <w:pPr>
        <w:ind w:left="4210" w:hanging="360"/>
      </w:pPr>
      <w:rPr>
        <w:rFonts w:ascii="Courier New" w:hAnsi="Courier New" w:cs="Courier New" w:hint="default"/>
      </w:rPr>
    </w:lvl>
    <w:lvl w:ilvl="5" w:tplc="04270005" w:tentative="1">
      <w:start w:val="1"/>
      <w:numFmt w:val="bullet"/>
      <w:lvlText w:val=""/>
      <w:lvlJc w:val="left"/>
      <w:pPr>
        <w:ind w:left="4930" w:hanging="360"/>
      </w:pPr>
      <w:rPr>
        <w:rFonts w:ascii="Wingdings" w:hAnsi="Wingdings" w:hint="default"/>
      </w:rPr>
    </w:lvl>
    <w:lvl w:ilvl="6" w:tplc="04270001" w:tentative="1">
      <w:start w:val="1"/>
      <w:numFmt w:val="bullet"/>
      <w:lvlText w:val=""/>
      <w:lvlJc w:val="left"/>
      <w:pPr>
        <w:ind w:left="5650" w:hanging="360"/>
      </w:pPr>
      <w:rPr>
        <w:rFonts w:ascii="Symbol" w:hAnsi="Symbol" w:hint="default"/>
      </w:rPr>
    </w:lvl>
    <w:lvl w:ilvl="7" w:tplc="04270003" w:tentative="1">
      <w:start w:val="1"/>
      <w:numFmt w:val="bullet"/>
      <w:lvlText w:val="o"/>
      <w:lvlJc w:val="left"/>
      <w:pPr>
        <w:ind w:left="6370" w:hanging="360"/>
      </w:pPr>
      <w:rPr>
        <w:rFonts w:ascii="Courier New" w:hAnsi="Courier New" w:cs="Courier New" w:hint="default"/>
      </w:rPr>
    </w:lvl>
    <w:lvl w:ilvl="8" w:tplc="04270005" w:tentative="1">
      <w:start w:val="1"/>
      <w:numFmt w:val="bullet"/>
      <w:lvlText w:val=""/>
      <w:lvlJc w:val="left"/>
      <w:pPr>
        <w:ind w:left="7090" w:hanging="360"/>
      </w:pPr>
      <w:rPr>
        <w:rFonts w:ascii="Wingdings" w:hAnsi="Wingdings" w:hint="default"/>
      </w:rPr>
    </w:lvl>
  </w:abstractNum>
  <w:abstractNum w:abstractNumId="5" w15:restartNumberingAfterBreak="0">
    <w:nsid w:val="401A704A"/>
    <w:multiLevelType w:val="hybridMultilevel"/>
    <w:tmpl w:val="0B0624EA"/>
    <w:lvl w:ilvl="0" w:tplc="FFFFFFFF">
      <w:start w:val="1"/>
      <w:numFmt w:val="decimal"/>
      <w:lvlText w:val="%1."/>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24097F"/>
    <w:multiLevelType w:val="hybridMultilevel"/>
    <w:tmpl w:val="8DDC91D4"/>
    <w:lvl w:ilvl="0" w:tplc="50A401B4">
      <w:start w:val="9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044E9"/>
    <w:multiLevelType w:val="hybridMultilevel"/>
    <w:tmpl w:val="FFFFFFFF"/>
    <w:lvl w:ilvl="0" w:tplc="D486C654">
      <w:start w:val="1"/>
      <w:numFmt w:val="bullet"/>
      <w:lvlText w:val=""/>
      <w:lvlJc w:val="left"/>
      <w:pPr>
        <w:ind w:left="1080" w:hanging="360"/>
      </w:pPr>
      <w:rPr>
        <w:rFonts w:ascii="Symbol" w:hAnsi="Symbol" w:hint="default"/>
      </w:rPr>
    </w:lvl>
    <w:lvl w:ilvl="1" w:tplc="2B642950">
      <w:start w:val="1"/>
      <w:numFmt w:val="bullet"/>
      <w:lvlText w:val="o"/>
      <w:lvlJc w:val="left"/>
      <w:pPr>
        <w:ind w:left="1800" w:hanging="360"/>
      </w:pPr>
      <w:rPr>
        <w:rFonts w:ascii="Courier New" w:hAnsi="Courier New" w:hint="default"/>
      </w:rPr>
    </w:lvl>
    <w:lvl w:ilvl="2" w:tplc="531E075E">
      <w:start w:val="1"/>
      <w:numFmt w:val="bullet"/>
      <w:lvlText w:val=""/>
      <w:lvlJc w:val="left"/>
      <w:pPr>
        <w:ind w:left="2520" w:hanging="360"/>
      </w:pPr>
      <w:rPr>
        <w:rFonts w:ascii="Wingdings" w:hAnsi="Wingdings" w:hint="default"/>
      </w:rPr>
    </w:lvl>
    <w:lvl w:ilvl="3" w:tplc="1C6A8282">
      <w:start w:val="1"/>
      <w:numFmt w:val="bullet"/>
      <w:lvlText w:val=""/>
      <w:lvlJc w:val="left"/>
      <w:pPr>
        <w:ind w:left="3240" w:hanging="360"/>
      </w:pPr>
      <w:rPr>
        <w:rFonts w:ascii="Symbol" w:hAnsi="Symbol" w:hint="default"/>
      </w:rPr>
    </w:lvl>
    <w:lvl w:ilvl="4" w:tplc="53927460">
      <w:start w:val="1"/>
      <w:numFmt w:val="bullet"/>
      <w:lvlText w:val="o"/>
      <w:lvlJc w:val="left"/>
      <w:pPr>
        <w:ind w:left="3960" w:hanging="360"/>
      </w:pPr>
      <w:rPr>
        <w:rFonts w:ascii="Courier New" w:hAnsi="Courier New" w:hint="default"/>
      </w:rPr>
    </w:lvl>
    <w:lvl w:ilvl="5" w:tplc="E81CFF84">
      <w:start w:val="1"/>
      <w:numFmt w:val="bullet"/>
      <w:lvlText w:val=""/>
      <w:lvlJc w:val="left"/>
      <w:pPr>
        <w:ind w:left="4680" w:hanging="360"/>
      </w:pPr>
      <w:rPr>
        <w:rFonts w:ascii="Wingdings" w:hAnsi="Wingdings" w:hint="default"/>
      </w:rPr>
    </w:lvl>
    <w:lvl w:ilvl="6" w:tplc="12FC991A">
      <w:start w:val="1"/>
      <w:numFmt w:val="bullet"/>
      <w:lvlText w:val=""/>
      <w:lvlJc w:val="left"/>
      <w:pPr>
        <w:ind w:left="5400" w:hanging="360"/>
      </w:pPr>
      <w:rPr>
        <w:rFonts w:ascii="Symbol" w:hAnsi="Symbol" w:hint="default"/>
      </w:rPr>
    </w:lvl>
    <w:lvl w:ilvl="7" w:tplc="1F14A20A">
      <w:start w:val="1"/>
      <w:numFmt w:val="bullet"/>
      <w:lvlText w:val="o"/>
      <w:lvlJc w:val="left"/>
      <w:pPr>
        <w:ind w:left="6120" w:hanging="360"/>
      </w:pPr>
      <w:rPr>
        <w:rFonts w:ascii="Courier New" w:hAnsi="Courier New" w:hint="default"/>
      </w:rPr>
    </w:lvl>
    <w:lvl w:ilvl="8" w:tplc="D6342426">
      <w:start w:val="1"/>
      <w:numFmt w:val="bullet"/>
      <w:lvlText w:val=""/>
      <w:lvlJc w:val="left"/>
      <w:pPr>
        <w:ind w:left="6840" w:hanging="360"/>
      </w:pPr>
      <w:rPr>
        <w:rFonts w:ascii="Wingdings" w:hAnsi="Wingdings" w:hint="default"/>
      </w:rPr>
    </w:lvl>
  </w:abstractNum>
  <w:abstractNum w:abstractNumId="8" w15:restartNumberingAfterBreak="0">
    <w:nsid w:val="6474ED30"/>
    <w:multiLevelType w:val="hybridMultilevel"/>
    <w:tmpl w:val="FFFFFFFF"/>
    <w:lvl w:ilvl="0" w:tplc="7474E6BA">
      <w:start w:val="1"/>
      <w:numFmt w:val="decimal"/>
      <w:lvlText w:val="%1."/>
      <w:lvlJc w:val="left"/>
      <w:pPr>
        <w:ind w:left="720" w:hanging="360"/>
      </w:pPr>
    </w:lvl>
    <w:lvl w:ilvl="1" w:tplc="01E62030">
      <w:start w:val="1"/>
      <w:numFmt w:val="lowerLetter"/>
      <w:lvlText w:val="%2."/>
      <w:lvlJc w:val="left"/>
      <w:pPr>
        <w:ind w:left="1440" w:hanging="360"/>
      </w:pPr>
    </w:lvl>
    <w:lvl w:ilvl="2" w:tplc="1C8EE6D2">
      <w:start w:val="1"/>
      <w:numFmt w:val="lowerRoman"/>
      <w:lvlText w:val="%3."/>
      <w:lvlJc w:val="right"/>
      <w:pPr>
        <w:ind w:left="2160" w:hanging="180"/>
      </w:pPr>
    </w:lvl>
    <w:lvl w:ilvl="3" w:tplc="ADF03C94">
      <w:start w:val="1"/>
      <w:numFmt w:val="decimal"/>
      <w:lvlText w:val="%4."/>
      <w:lvlJc w:val="left"/>
      <w:pPr>
        <w:ind w:left="2880" w:hanging="360"/>
      </w:pPr>
    </w:lvl>
    <w:lvl w:ilvl="4" w:tplc="6696F38E">
      <w:start w:val="1"/>
      <w:numFmt w:val="lowerLetter"/>
      <w:lvlText w:val="%5."/>
      <w:lvlJc w:val="left"/>
      <w:pPr>
        <w:ind w:left="3600" w:hanging="360"/>
      </w:pPr>
    </w:lvl>
    <w:lvl w:ilvl="5" w:tplc="320676B0">
      <w:start w:val="1"/>
      <w:numFmt w:val="lowerRoman"/>
      <w:lvlText w:val="%6."/>
      <w:lvlJc w:val="right"/>
      <w:pPr>
        <w:ind w:left="4320" w:hanging="180"/>
      </w:pPr>
    </w:lvl>
    <w:lvl w:ilvl="6" w:tplc="B4DCFC78">
      <w:start w:val="1"/>
      <w:numFmt w:val="decimal"/>
      <w:lvlText w:val="%7."/>
      <w:lvlJc w:val="left"/>
      <w:pPr>
        <w:ind w:left="5040" w:hanging="360"/>
      </w:pPr>
    </w:lvl>
    <w:lvl w:ilvl="7" w:tplc="44B8D456">
      <w:start w:val="1"/>
      <w:numFmt w:val="lowerLetter"/>
      <w:lvlText w:val="%8."/>
      <w:lvlJc w:val="left"/>
      <w:pPr>
        <w:ind w:left="5760" w:hanging="360"/>
      </w:pPr>
    </w:lvl>
    <w:lvl w:ilvl="8" w:tplc="752C8136">
      <w:start w:val="1"/>
      <w:numFmt w:val="lowerRoman"/>
      <w:lvlText w:val="%9."/>
      <w:lvlJc w:val="right"/>
      <w:pPr>
        <w:ind w:left="6480" w:hanging="180"/>
      </w:pPr>
    </w:lvl>
  </w:abstractNum>
  <w:abstractNum w:abstractNumId="9" w15:restartNumberingAfterBreak="0">
    <w:nsid w:val="6E53B882"/>
    <w:multiLevelType w:val="hybridMultilevel"/>
    <w:tmpl w:val="FFFFFFFF"/>
    <w:lvl w:ilvl="0" w:tplc="2CAE579A">
      <w:start w:val="1"/>
      <w:numFmt w:val="decimal"/>
      <w:lvlText w:val="%1."/>
      <w:lvlJc w:val="left"/>
      <w:pPr>
        <w:ind w:left="1440" w:hanging="360"/>
      </w:pPr>
    </w:lvl>
    <w:lvl w:ilvl="1" w:tplc="35881B6C">
      <w:start w:val="1"/>
      <w:numFmt w:val="lowerLetter"/>
      <w:lvlText w:val="%2."/>
      <w:lvlJc w:val="left"/>
      <w:pPr>
        <w:ind w:left="2160" w:hanging="360"/>
      </w:pPr>
    </w:lvl>
    <w:lvl w:ilvl="2" w:tplc="667E5C50">
      <w:start w:val="1"/>
      <w:numFmt w:val="lowerRoman"/>
      <w:lvlText w:val="%3."/>
      <w:lvlJc w:val="right"/>
      <w:pPr>
        <w:ind w:left="2880" w:hanging="180"/>
      </w:pPr>
    </w:lvl>
    <w:lvl w:ilvl="3" w:tplc="EBBE704E">
      <w:start w:val="1"/>
      <w:numFmt w:val="decimal"/>
      <w:lvlText w:val="%4."/>
      <w:lvlJc w:val="left"/>
      <w:pPr>
        <w:ind w:left="3600" w:hanging="360"/>
      </w:pPr>
    </w:lvl>
    <w:lvl w:ilvl="4" w:tplc="B8D09074">
      <w:start w:val="1"/>
      <w:numFmt w:val="lowerLetter"/>
      <w:lvlText w:val="%5."/>
      <w:lvlJc w:val="left"/>
      <w:pPr>
        <w:ind w:left="4320" w:hanging="360"/>
      </w:pPr>
    </w:lvl>
    <w:lvl w:ilvl="5" w:tplc="4A842890">
      <w:start w:val="1"/>
      <w:numFmt w:val="lowerRoman"/>
      <w:lvlText w:val="%6."/>
      <w:lvlJc w:val="right"/>
      <w:pPr>
        <w:ind w:left="5040" w:hanging="180"/>
      </w:pPr>
    </w:lvl>
    <w:lvl w:ilvl="6" w:tplc="73E822F4">
      <w:start w:val="1"/>
      <w:numFmt w:val="decimal"/>
      <w:lvlText w:val="%7."/>
      <w:lvlJc w:val="left"/>
      <w:pPr>
        <w:ind w:left="5760" w:hanging="360"/>
      </w:pPr>
    </w:lvl>
    <w:lvl w:ilvl="7" w:tplc="4CEEB908">
      <w:start w:val="1"/>
      <w:numFmt w:val="lowerLetter"/>
      <w:lvlText w:val="%8."/>
      <w:lvlJc w:val="left"/>
      <w:pPr>
        <w:ind w:left="6480" w:hanging="360"/>
      </w:pPr>
    </w:lvl>
    <w:lvl w:ilvl="8" w:tplc="FFAAA644">
      <w:start w:val="1"/>
      <w:numFmt w:val="lowerRoman"/>
      <w:lvlText w:val="%9."/>
      <w:lvlJc w:val="right"/>
      <w:pPr>
        <w:ind w:left="7200" w:hanging="180"/>
      </w:pPr>
    </w:lvl>
  </w:abstractNum>
  <w:abstractNum w:abstractNumId="10" w15:restartNumberingAfterBreak="0">
    <w:nsid w:val="7171545D"/>
    <w:multiLevelType w:val="hybridMultilevel"/>
    <w:tmpl w:val="FFFFFFFF"/>
    <w:lvl w:ilvl="0" w:tplc="75BC0BC4">
      <w:start w:val="1"/>
      <w:numFmt w:val="bullet"/>
      <w:lvlText w:val=""/>
      <w:lvlJc w:val="left"/>
      <w:pPr>
        <w:ind w:left="1080" w:hanging="360"/>
      </w:pPr>
      <w:rPr>
        <w:rFonts w:ascii="Symbol" w:hAnsi="Symbol" w:hint="default"/>
      </w:rPr>
    </w:lvl>
    <w:lvl w:ilvl="1" w:tplc="A9AA8AF6">
      <w:start w:val="1"/>
      <w:numFmt w:val="bullet"/>
      <w:lvlText w:val="o"/>
      <w:lvlJc w:val="left"/>
      <w:pPr>
        <w:ind w:left="1800" w:hanging="360"/>
      </w:pPr>
      <w:rPr>
        <w:rFonts w:ascii="Courier New" w:hAnsi="Courier New" w:hint="default"/>
      </w:rPr>
    </w:lvl>
    <w:lvl w:ilvl="2" w:tplc="7584B2E6">
      <w:start w:val="1"/>
      <w:numFmt w:val="bullet"/>
      <w:lvlText w:val=""/>
      <w:lvlJc w:val="left"/>
      <w:pPr>
        <w:ind w:left="2520" w:hanging="360"/>
      </w:pPr>
      <w:rPr>
        <w:rFonts w:ascii="Wingdings" w:hAnsi="Wingdings" w:hint="default"/>
      </w:rPr>
    </w:lvl>
    <w:lvl w:ilvl="3" w:tplc="B68C93DE">
      <w:start w:val="1"/>
      <w:numFmt w:val="bullet"/>
      <w:lvlText w:val=""/>
      <w:lvlJc w:val="left"/>
      <w:pPr>
        <w:ind w:left="3240" w:hanging="360"/>
      </w:pPr>
      <w:rPr>
        <w:rFonts w:ascii="Symbol" w:hAnsi="Symbol" w:hint="default"/>
      </w:rPr>
    </w:lvl>
    <w:lvl w:ilvl="4" w:tplc="4B208110">
      <w:start w:val="1"/>
      <w:numFmt w:val="bullet"/>
      <w:lvlText w:val="o"/>
      <w:lvlJc w:val="left"/>
      <w:pPr>
        <w:ind w:left="3960" w:hanging="360"/>
      </w:pPr>
      <w:rPr>
        <w:rFonts w:ascii="Courier New" w:hAnsi="Courier New" w:hint="default"/>
      </w:rPr>
    </w:lvl>
    <w:lvl w:ilvl="5" w:tplc="C114A260">
      <w:start w:val="1"/>
      <w:numFmt w:val="bullet"/>
      <w:lvlText w:val=""/>
      <w:lvlJc w:val="left"/>
      <w:pPr>
        <w:ind w:left="4680" w:hanging="360"/>
      </w:pPr>
      <w:rPr>
        <w:rFonts w:ascii="Wingdings" w:hAnsi="Wingdings" w:hint="default"/>
      </w:rPr>
    </w:lvl>
    <w:lvl w:ilvl="6" w:tplc="E9700F92">
      <w:start w:val="1"/>
      <w:numFmt w:val="bullet"/>
      <w:lvlText w:val=""/>
      <w:lvlJc w:val="left"/>
      <w:pPr>
        <w:ind w:left="5400" w:hanging="360"/>
      </w:pPr>
      <w:rPr>
        <w:rFonts w:ascii="Symbol" w:hAnsi="Symbol" w:hint="default"/>
      </w:rPr>
    </w:lvl>
    <w:lvl w:ilvl="7" w:tplc="AA74B4C6">
      <w:start w:val="1"/>
      <w:numFmt w:val="bullet"/>
      <w:lvlText w:val="o"/>
      <w:lvlJc w:val="left"/>
      <w:pPr>
        <w:ind w:left="6120" w:hanging="360"/>
      </w:pPr>
      <w:rPr>
        <w:rFonts w:ascii="Courier New" w:hAnsi="Courier New" w:hint="default"/>
      </w:rPr>
    </w:lvl>
    <w:lvl w:ilvl="8" w:tplc="87FAFE8A">
      <w:start w:val="1"/>
      <w:numFmt w:val="bullet"/>
      <w:lvlText w:val=""/>
      <w:lvlJc w:val="left"/>
      <w:pPr>
        <w:ind w:left="6840" w:hanging="360"/>
      </w:pPr>
      <w:rPr>
        <w:rFonts w:ascii="Wingdings" w:hAnsi="Wingdings" w:hint="default"/>
      </w:rPr>
    </w:lvl>
  </w:abstractNum>
  <w:abstractNum w:abstractNumId="11" w15:restartNumberingAfterBreak="0">
    <w:nsid w:val="721E3354"/>
    <w:multiLevelType w:val="multilevel"/>
    <w:tmpl w:val="D9CC0CC8"/>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75ED60D3"/>
    <w:multiLevelType w:val="hybridMultilevel"/>
    <w:tmpl w:val="B240D3CE"/>
    <w:lvl w:ilvl="0" w:tplc="04270001">
      <w:start w:val="1"/>
      <w:numFmt w:val="bullet"/>
      <w:lvlText w:val=""/>
      <w:lvlJc w:val="left"/>
      <w:pPr>
        <w:ind w:left="1330" w:hanging="360"/>
      </w:pPr>
      <w:rPr>
        <w:rFonts w:ascii="Symbol" w:hAnsi="Symbol" w:hint="default"/>
      </w:rPr>
    </w:lvl>
    <w:lvl w:ilvl="1" w:tplc="04270003" w:tentative="1">
      <w:start w:val="1"/>
      <w:numFmt w:val="bullet"/>
      <w:lvlText w:val="o"/>
      <w:lvlJc w:val="left"/>
      <w:pPr>
        <w:ind w:left="2050" w:hanging="360"/>
      </w:pPr>
      <w:rPr>
        <w:rFonts w:ascii="Courier New" w:hAnsi="Courier New" w:cs="Courier New" w:hint="default"/>
      </w:rPr>
    </w:lvl>
    <w:lvl w:ilvl="2" w:tplc="04270005" w:tentative="1">
      <w:start w:val="1"/>
      <w:numFmt w:val="bullet"/>
      <w:lvlText w:val=""/>
      <w:lvlJc w:val="left"/>
      <w:pPr>
        <w:ind w:left="2770" w:hanging="360"/>
      </w:pPr>
      <w:rPr>
        <w:rFonts w:ascii="Wingdings" w:hAnsi="Wingdings" w:hint="default"/>
      </w:rPr>
    </w:lvl>
    <w:lvl w:ilvl="3" w:tplc="04270001" w:tentative="1">
      <w:start w:val="1"/>
      <w:numFmt w:val="bullet"/>
      <w:lvlText w:val=""/>
      <w:lvlJc w:val="left"/>
      <w:pPr>
        <w:ind w:left="3490" w:hanging="360"/>
      </w:pPr>
      <w:rPr>
        <w:rFonts w:ascii="Symbol" w:hAnsi="Symbol" w:hint="default"/>
      </w:rPr>
    </w:lvl>
    <w:lvl w:ilvl="4" w:tplc="04270003" w:tentative="1">
      <w:start w:val="1"/>
      <w:numFmt w:val="bullet"/>
      <w:lvlText w:val="o"/>
      <w:lvlJc w:val="left"/>
      <w:pPr>
        <w:ind w:left="4210" w:hanging="360"/>
      </w:pPr>
      <w:rPr>
        <w:rFonts w:ascii="Courier New" w:hAnsi="Courier New" w:cs="Courier New" w:hint="default"/>
      </w:rPr>
    </w:lvl>
    <w:lvl w:ilvl="5" w:tplc="04270005" w:tentative="1">
      <w:start w:val="1"/>
      <w:numFmt w:val="bullet"/>
      <w:lvlText w:val=""/>
      <w:lvlJc w:val="left"/>
      <w:pPr>
        <w:ind w:left="4930" w:hanging="360"/>
      </w:pPr>
      <w:rPr>
        <w:rFonts w:ascii="Wingdings" w:hAnsi="Wingdings" w:hint="default"/>
      </w:rPr>
    </w:lvl>
    <w:lvl w:ilvl="6" w:tplc="04270001" w:tentative="1">
      <w:start w:val="1"/>
      <w:numFmt w:val="bullet"/>
      <w:lvlText w:val=""/>
      <w:lvlJc w:val="left"/>
      <w:pPr>
        <w:ind w:left="5650" w:hanging="360"/>
      </w:pPr>
      <w:rPr>
        <w:rFonts w:ascii="Symbol" w:hAnsi="Symbol" w:hint="default"/>
      </w:rPr>
    </w:lvl>
    <w:lvl w:ilvl="7" w:tplc="04270003" w:tentative="1">
      <w:start w:val="1"/>
      <w:numFmt w:val="bullet"/>
      <w:lvlText w:val="o"/>
      <w:lvlJc w:val="left"/>
      <w:pPr>
        <w:ind w:left="6370" w:hanging="360"/>
      </w:pPr>
      <w:rPr>
        <w:rFonts w:ascii="Courier New" w:hAnsi="Courier New" w:cs="Courier New" w:hint="default"/>
      </w:rPr>
    </w:lvl>
    <w:lvl w:ilvl="8" w:tplc="04270005" w:tentative="1">
      <w:start w:val="1"/>
      <w:numFmt w:val="bullet"/>
      <w:lvlText w:val=""/>
      <w:lvlJc w:val="left"/>
      <w:pPr>
        <w:ind w:left="7090" w:hanging="360"/>
      </w:pPr>
      <w:rPr>
        <w:rFonts w:ascii="Wingdings" w:hAnsi="Wingdings" w:hint="default"/>
      </w:rPr>
    </w:lvl>
  </w:abstractNum>
  <w:num w:numId="1" w16cid:durableId="1662544154">
    <w:abstractNumId w:val="11"/>
  </w:num>
  <w:num w:numId="2" w16cid:durableId="1017459822">
    <w:abstractNumId w:val="6"/>
  </w:num>
  <w:num w:numId="3" w16cid:durableId="231887813">
    <w:abstractNumId w:val="12"/>
  </w:num>
  <w:num w:numId="4" w16cid:durableId="1733232131">
    <w:abstractNumId w:val="5"/>
  </w:num>
  <w:num w:numId="5" w16cid:durableId="1667707471">
    <w:abstractNumId w:val="4"/>
  </w:num>
  <w:num w:numId="6" w16cid:durableId="1346513999">
    <w:abstractNumId w:val="1"/>
  </w:num>
  <w:num w:numId="7" w16cid:durableId="230042270">
    <w:abstractNumId w:val="0"/>
  </w:num>
  <w:num w:numId="8" w16cid:durableId="1922180099">
    <w:abstractNumId w:val="9"/>
  </w:num>
  <w:num w:numId="9" w16cid:durableId="242103342">
    <w:abstractNumId w:val="10"/>
  </w:num>
  <w:num w:numId="10" w16cid:durableId="985890383">
    <w:abstractNumId w:val="8"/>
  </w:num>
  <w:num w:numId="11" w16cid:durableId="986321940">
    <w:abstractNumId w:val="7"/>
  </w:num>
  <w:num w:numId="12" w16cid:durableId="935019780">
    <w:abstractNumId w:val="3"/>
  </w:num>
  <w:num w:numId="13" w16cid:durableId="1149323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D8"/>
    <w:rsid w:val="00024A69"/>
    <w:rsid w:val="00035666"/>
    <w:rsid w:val="000425C5"/>
    <w:rsid w:val="00060ACC"/>
    <w:rsid w:val="00072802"/>
    <w:rsid w:val="00081FCF"/>
    <w:rsid w:val="000A22C0"/>
    <w:rsid w:val="000A2EAE"/>
    <w:rsid w:val="000B089F"/>
    <w:rsid w:val="000B76CA"/>
    <w:rsid w:val="000E41FF"/>
    <w:rsid w:val="000F344B"/>
    <w:rsid w:val="001023F9"/>
    <w:rsid w:val="001107A8"/>
    <w:rsid w:val="001170A3"/>
    <w:rsid w:val="00117EF8"/>
    <w:rsid w:val="00130B2C"/>
    <w:rsid w:val="001345D2"/>
    <w:rsid w:val="00145AC6"/>
    <w:rsid w:val="001A0026"/>
    <w:rsid w:val="001B0ECD"/>
    <w:rsid w:val="001B603A"/>
    <w:rsid w:val="001C0BC8"/>
    <w:rsid w:val="001F5ACF"/>
    <w:rsid w:val="00233CE5"/>
    <w:rsid w:val="002449E2"/>
    <w:rsid w:val="002711E2"/>
    <w:rsid w:val="0027129F"/>
    <w:rsid w:val="002748EF"/>
    <w:rsid w:val="00286613"/>
    <w:rsid w:val="002A19F5"/>
    <w:rsid w:val="002B14A3"/>
    <w:rsid w:val="002B60A6"/>
    <w:rsid w:val="002B6B64"/>
    <w:rsid w:val="002C7CB6"/>
    <w:rsid w:val="002E0656"/>
    <w:rsid w:val="002F0F01"/>
    <w:rsid w:val="002F5519"/>
    <w:rsid w:val="00331CDB"/>
    <w:rsid w:val="00332518"/>
    <w:rsid w:val="003338BD"/>
    <w:rsid w:val="003375FC"/>
    <w:rsid w:val="00344C9C"/>
    <w:rsid w:val="00351216"/>
    <w:rsid w:val="00382EF9"/>
    <w:rsid w:val="00383F23"/>
    <w:rsid w:val="00387A98"/>
    <w:rsid w:val="00390292"/>
    <w:rsid w:val="003C0CE2"/>
    <w:rsid w:val="00410E69"/>
    <w:rsid w:val="00412606"/>
    <w:rsid w:val="00414604"/>
    <w:rsid w:val="004162B0"/>
    <w:rsid w:val="004260CD"/>
    <w:rsid w:val="0043202B"/>
    <w:rsid w:val="004347C6"/>
    <w:rsid w:val="00441319"/>
    <w:rsid w:val="0044175B"/>
    <w:rsid w:val="00460003"/>
    <w:rsid w:val="00460D4C"/>
    <w:rsid w:val="00471F81"/>
    <w:rsid w:val="00472CCA"/>
    <w:rsid w:val="004A1B25"/>
    <w:rsid w:val="004A6653"/>
    <w:rsid w:val="004A72EF"/>
    <w:rsid w:val="004C4A1D"/>
    <w:rsid w:val="004D2784"/>
    <w:rsid w:val="004D56C6"/>
    <w:rsid w:val="004E03BD"/>
    <w:rsid w:val="005234A0"/>
    <w:rsid w:val="0052377E"/>
    <w:rsid w:val="0052510E"/>
    <w:rsid w:val="00545AEB"/>
    <w:rsid w:val="00573D15"/>
    <w:rsid w:val="00577580"/>
    <w:rsid w:val="00585755"/>
    <w:rsid w:val="005B118D"/>
    <w:rsid w:val="005B463F"/>
    <w:rsid w:val="005C7A9F"/>
    <w:rsid w:val="005D2B14"/>
    <w:rsid w:val="005E1937"/>
    <w:rsid w:val="005E245C"/>
    <w:rsid w:val="005E2569"/>
    <w:rsid w:val="005E5BF8"/>
    <w:rsid w:val="005E76EF"/>
    <w:rsid w:val="00604415"/>
    <w:rsid w:val="00605119"/>
    <w:rsid w:val="006133F8"/>
    <w:rsid w:val="00620289"/>
    <w:rsid w:val="00630ADD"/>
    <w:rsid w:val="00651D8B"/>
    <w:rsid w:val="00656566"/>
    <w:rsid w:val="00675907"/>
    <w:rsid w:val="00696BD3"/>
    <w:rsid w:val="006C2778"/>
    <w:rsid w:val="006D2266"/>
    <w:rsid w:val="006D22E6"/>
    <w:rsid w:val="006D33C8"/>
    <w:rsid w:val="006F0217"/>
    <w:rsid w:val="006F56FC"/>
    <w:rsid w:val="00710A3F"/>
    <w:rsid w:val="00732366"/>
    <w:rsid w:val="00745169"/>
    <w:rsid w:val="00746CFE"/>
    <w:rsid w:val="00752A07"/>
    <w:rsid w:val="00757FD9"/>
    <w:rsid w:val="00762421"/>
    <w:rsid w:val="00771685"/>
    <w:rsid w:val="00792785"/>
    <w:rsid w:val="007A072E"/>
    <w:rsid w:val="007A1EA3"/>
    <w:rsid w:val="007A71C8"/>
    <w:rsid w:val="007B68CD"/>
    <w:rsid w:val="007C1CC1"/>
    <w:rsid w:val="007C4395"/>
    <w:rsid w:val="007D3FC7"/>
    <w:rsid w:val="007E0215"/>
    <w:rsid w:val="00804F7B"/>
    <w:rsid w:val="0082661E"/>
    <w:rsid w:val="00831533"/>
    <w:rsid w:val="008353F0"/>
    <w:rsid w:val="00851F4F"/>
    <w:rsid w:val="00872473"/>
    <w:rsid w:val="00872B41"/>
    <w:rsid w:val="00895292"/>
    <w:rsid w:val="008A18E4"/>
    <w:rsid w:val="008C578A"/>
    <w:rsid w:val="008D2D3D"/>
    <w:rsid w:val="008D541B"/>
    <w:rsid w:val="008D67CB"/>
    <w:rsid w:val="008E1F28"/>
    <w:rsid w:val="008E6BDC"/>
    <w:rsid w:val="008F1E0A"/>
    <w:rsid w:val="008F46C2"/>
    <w:rsid w:val="0091396B"/>
    <w:rsid w:val="00926D24"/>
    <w:rsid w:val="00936795"/>
    <w:rsid w:val="00961159"/>
    <w:rsid w:val="009676E2"/>
    <w:rsid w:val="00982EC1"/>
    <w:rsid w:val="00990C5E"/>
    <w:rsid w:val="009A6246"/>
    <w:rsid w:val="009B45B4"/>
    <w:rsid w:val="009C1E71"/>
    <w:rsid w:val="009D36F7"/>
    <w:rsid w:val="009D6753"/>
    <w:rsid w:val="009E4074"/>
    <w:rsid w:val="009F0338"/>
    <w:rsid w:val="009F6518"/>
    <w:rsid w:val="00A00EFB"/>
    <w:rsid w:val="00A02ED1"/>
    <w:rsid w:val="00A21501"/>
    <w:rsid w:val="00A370D3"/>
    <w:rsid w:val="00A846BF"/>
    <w:rsid w:val="00A8623D"/>
    <w:rsid w:val="00AB3276"/>
    <w:rsid w:val="00AD45A4"/>
    <w:rsid w:val="00AD662F"/>
    <w:rsid w:val="00AE6E90"/>
    <w:rsid w:val="00B00B56"/>
    <w:rsid w:val="00B01EC6"/>
    <w:rsid w:val="00B056EA"/>
    <w:rsid w:val="00B30025"/>
    <w:rsid w:val="00B37B72"/>
    <w:rsid w:val="00B510D8"/>
    <w:rsid w:val="00B52309"/>
    <w:rsid w:val="00B53293"/>
    <w:rsid w:val="00B536C2"/>
    <w:rsid w:val="00B60F62"/>
    <w:rsid w:val="00B61AA9"/>
    <w:rsid w:val="00B72657"/>
    <w:rsid w:val="00B766EE"/>
    <w:rsid w:val="00B77B1F"/>
    <w:rsid w:val="00B82F22"/>
    <w:rsid w:val="00B8740A"/>
    <w:rsid w:val="00BA2BCF"/>
    <w:rsid w:val="00BA48F8"/>
    <w:rsid w:val="00BB0290"/>
    <w:rsid w:val="00BB22F4"/>
    <w:rsid w:val="00BC52D0"/>
    <w:rsid w:val="00C1042B"/>
    <w:rsid w:val="00C107CE"/>
    <w:rsid w:val="00C11DE9"/>
    <w:rsid w:val="00C14204"/>
    <w:rsid w:val="00C30266"/>
    <w:rsid w:val="00C45EE8"/>
    <w:rsid w:val="00C46A54"/>
    <w:rsid w:val="00C748E4"/>
    <w:rsid w:val="00C80EA6"/>
    <w:rsid w:val="00C91C6C"/>
    <w:rsid w:val="00CA719E"/>
    <w:rsid w:val="00CB36A5"/>
    <w:rsid w:val="00CB7176"/>
    <w:rsid w:val="00CC005B"/>
    <w:rsid w:val="00CC089B"/>
    <w:rsid w:val="00CC5DB8"/>
    <w:rsid w:val="00CC7024"/>
    <w:rsid w:val="00CD451D"/>
    <w:rsid w:val="00CE03A7"/>
    <w:rsid w:val="00CF2D78"/>
    <w:rsid w:val="00D04891"/>
    <w:rsid w:val="00D16CA4"/>
    <w:rsid w:val="00D24259"/>
    <w:rsid w:val="00D40E7C"/>
    <w:rsid w:val="00D42826"/>
    <w:rsid w:val="00D6042C"/>
    <w:rsid w:val="00D96772"/>
    <w:rsid w:val="00DE1A37"/>
    <w:rsid w:val="00DE3223"/>
    <w:rsid w:val="00DE5979"/>
    <w:rsid w:val="00DF2945"/>
    <w:rsid w:val="00DF4A83"/>
    <w:rsid w:val="00E37542"/>
    <w:rsid w:val="00E72FE3"/>
    <w:rsid w:val="00EA2A72"/>
    <w:rsid w:val="00EE11F1"/>
    <w:rsid w:val="00F0185A"/>
    <w:rsid w:val="00F019E8"/>
    <w:rsid w:val="00F050F9"/>
    <w:rsid w:val="00F8172D"/>
    <w:rsid w:val="00F8521D"/>
    <w:rsid w:val="00F86E6B"/>
    <w:rsid w:val="00F87F5C"/>
    <w:rsid w:val="00F90D75"/>
    <w:rsid w:val="00F97210"/>
    <w:rsid w:val="00FA3928"/>
    <w:rsid w:val="00FA4712"/>
    <w:rsid w:val="00FB0C7B"/>
    <w:rsid w:val="00FB287C"/>
    <w:rsid w:val="00FF31D7"/>
    <w:rsid w:val="0C7914C3"/>
    <w:rsid w:val="0CAEE79E"/>
    <w:rsid w:val="1B39D1B9"/>
    <w:rsid w:val="1E52E8AB"/>
    <w:rsid w:val="2B6739DE"/>
    <w:rsid w:val="2E068F51"/>
    <w:rsid w:val="322A7610"/>
    <w:rsid w:val="349BD8A8"/>
    <w:rsid w:val="3A2AC5AD"/>
    <w:rsid w:val="429B631D"/>
    <w:rsid w:val="4CFE0CDD"/>
    <w:rsid w:val="547AC243"/>
    <w:rsid w:val="55494A7D"/>
    <w:rsid w:val="57F6FB37"/>
    <w:rsid w:val="5AABE7D9"/>
    <w:rsid w:val="5BEA19BC"/>
    <w:rsid w:val="6075926D"/>
    <w:rsid w:val="60AEC17C"/>
    <w:rsid w:val="60F738BC"/>
    <w:rsid w:val="640308ED"/>
    <w:rsid w:val="6653F1B2"/>
    <w:rsid w:val="712BEF2C"/>
    <w:rsid w:val="7DCDD642"/>
    <w:rsid w:val="7EE3B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0505"/>
  <w15:docId w15:val="{6ABF1A71-7361-4793-BB25-7580038BB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style>
  <w:style w:type="character" w:customStyle="1" w:styleId="Numatytasispastraiposriftas">
    <w:name w:val="Numatytasis pastraipos šriftas"/>
  </w:style>
  <w:style w:type="paragraph" w:customStyle="1" w:styleId="Sraopastraipa">
    <w:name w:val="Sąrašo pastraipa"/>
    <w:basedOn w:val="prastasis"/>
    <w:pPr>
      <w:ind w:left="720"/>
    </w:pPr>
  </w:style>
  <w:style w:type="character" w:customStyle="1" w:styleId="Hipersaitas">
    <w:name w:val="Hipersaitas"/>
    <w:basedOn w:val="Numatytasispastraiposriftas"/>
    <w:rPr>
      <w:color w:val="0563C1"/>
      <w:u w:val="single"/>
    </w:rPr>
  </w:style>
  <w:style w:type="character" w:customStyle="1" w:styleId="Neapdorotaspaminjimas">
    <w:name w:val="Neapdorotas paminėjimas"/>
    <w:basedOn w:val="Numatytasispastraiposriftas"/>
    <w:rPr>
      <w:color w:val="605E5C"/>
      <w:shd w:val="clear" w:color="auto" w:fill="E1DFDD"/>
    </w:rPr>
  </w:style>
  <w:style w:type="paragraph" w:customStyle="1" w:styleId="Puslapioinaostekstas">
    <w:name w:val="Puslapio išnašos tekstas"/>
    <w:basedOn w:val="prastasis"/>
    <w:pPr>
      <w:spacing w:after="0"/>
    </w:pPr>
    <w:rPr>
      <w:sz w:val="20"/>
      <w:szCs w:val="20"/>
    </w:rPr>
  </w:style>
  <w:style w:type="character" w:customStyle="1" w:styleId="FootnoteTextChar">
    <w:name w:val="Footnote Text Char"/>
    <w:basedOn w:val="Numatytasispastraiposriftas"/>
    <w:link w:val="FootnoteText"/>
    <w:uiPriority w:val="99"/>
    <w:rPr>
      <w:sz w:val="20"/>
      <w:szCs w:val="20"/>
    </w:rPr>
  </w:style>
  <w:style w:type="character" w:customStyle="1" w:styleId="Puslapioinaosnuoroda">
    <w:name w:val="Puslapio išnašos nuoroda"/>
    <w:basedOn w:val="Numatytasispastraiposriftas"/>
    <w:rPr>
      <w:position w:val="0"/>
      <w:vertAlign w:val="superscript"/>
    </w:rPr>
  </w:style>
  <w:style w:type="paragraph" w:customStyle="1" w:styleId="paragraph">
    <w:name w:val="paragraph"/>
    <w:basedOn w:val="prastasis"/>
    <w:pPr>
      <w:suppressAutoHyphens w:val="0"/>
      <w:spacing w:before="100" w:after="100"/>
      <w:textAlignment w:val="auto"/>
    </w:pPr>
    <w:rPr>
      <w:rFonts w:ascii="Times New Roman" w:eastAsia="Times New Roman" w:hAnsi="Times New Roman"/>
      <w:sz w:val="24"/>
      <w:szCs w:val="24"/>
      <w:lang w:val="en-US"/>
    </w:rPr>
  </w:style>
  <w:style w:type="character" w:customStyle="1" w:styleId="normaltextrun">
    <w:name w:val="normaltextrun"/>
    <w:basedOn w:val="Numatytasispastraiposriftas"/>
  </w:style>
  <w:style w:type="character" w:customStyle="1" w:styleId="ui-provider">
    <w:name w:val="ui-provider"/>
    <w:basedOn w:val="Numatytasispastraiposriftas"/>
  </w:style>
  <w:style w:type="paragraph" w:customStyle="1" w:styleId="Pataisymai">
    <w:name w:val="Pataisymai"/>
    <w:pPr>
      <w:spacing w:after="0"/>
      <w:textAlignment w:val="auto"/>
    </w:pPr>
  </w:style>
  <w:style w:type="paragraph" w:styleId="ListParagraph">
    <w:name w:val="List Paragraph"/>
    <w:basedOn w:val="Normal"/>
    <w:uiPriority w:val="34"/>
    <w:qFormat/>
    <w:rsid w:val="00A02ED1"/>
    <w:pPr>
      <w:ind w:left="720"/>
      <w:contextualSpacing/>
    </w:pPr>
  </w:style>
  <w:style w:type="character" w:styleId="PlaceholderText">
    <w:name w:val="Placeholder Text"/>
    <w:basedOn w:val="DefaultParagraphFont"/>
    <w:uiPriority w:val="99"/>
    <w:semiHidden/>
    <w:rsid w:val="00410E69"/>
    <w:rPr>
      <w:color w:val="666666"/>
    </w:rPr>
  </w:style>
  <w:style w:type="paragraph" w:styleId="Revision">
    <w:name w:val="Revision"/>
    <w:hidden/>
    <w:uiPriority w:val="99"/>
    <w:semiHidden/>
    <w:rsid w:val="001B0ECD"/>
    <w:pPr>
      <w:autoSpaceDN/>
      <w:spacing w:after="0"/>
      <w:textAlignment w:val="auto"/>
    </w:pPr>
  </w:style>
  <w:style w:type="character" w:styleId="CommentReference">
    <w:name w:val="annotation reference"/>
    <w:basedOn w:val="DefaultParagraphFont"/>
    <w:uiPriority w:val="99"/>
    <w:semiHidden/>
    <w:unhideWhenUsed/>
    <w:rsid w:val="00130B2C"/>
    <w:rPr>
      <w:sz w:val="16"/>
      <w:szCs w:val="16"/>
    </w:rPr>
  </w:style>
  <w:style w:type="paragraph" w:styleId="CommentText">
    <w:name w:val="annotation text"/>
    <w:basedOn w:val="Normal"/>
    <w:link w:val="CommentTextChar"/>
    <w:uiPriority w:val="99"/>
    <w:unhideWhenUsed/>
    <w:rsid w:val="00130B2C"/>
    <w:rPr>
      <w:sz w:val="20"/>
      <w:szCs w:val="20"/>
    </w:rPr>
  </w:style>
  <w:style w:type="character" w:customStyle="1" w:styleId="CommentTextChar">
    <w:name w:val="Comment Text Char"/>
    <w:basedOn w:val="DefaultParagraphFont"/>
    <w:link w:val="CommentText"/>
    <w:uiPriority w:val="99"/>
    <w:rsid w:val="00130B2C"/>
    <w:rPr>
      <w:sz w:val="20"/>
      <w:szCs w:val="20"/>
    </w:rPr>
  </w:style>
  <w:style w:type="paragraph" w:styleId="CommentSubject">
    <w:name w:val="annotation subject"/>
    <w:basedOn w:val="CommentText"/>
    <w:next w:val="CommentText"/>
    <w:link w:val="CommentSubjectChar"/>
    <w:uiPriority w:val="99"/>
    <w:semiHidden/>
    <w:unhideWhenUsed/>
    <w:rsid w:val="00130B2C"/>
    <w:rPr>
      <w:b/>
      <w:bCs/>
    </w:rPr>
  </w:style>
  <w:style w:type="character" w:customStyle="1" w:styleId="CommentSubjectChar">
    <w:name w:val="Comment Subject Char"/>
    <w:basedOn w:val="CommentTextChar"/>
    <w:link w:val="CommentSubject"/>
    <w:uiPriority w:val="99"/>
    <w:semiHidden/>
    <w:rsid w:val="00130B2C"/>
    <w:rPr>
      <w:b/>
      <w:bCs/>
      <w:sz w:val="20"/>
      <w:szCs w:val="20"/>
    </w:rPr>
  </w:style>
  <w:style w:type="paragraph" w:styleId="Header">
    <w:name w:val="header"/>
    <w:basedOn w:val="Normal"/>
    <w:link w:val="HeaderChar"/>
    <w:uiPriority w:val="99"/>
    <w:semiHidden/>
    <w:unhideWhenUsed/>
    <w:rsid w:val="00605119"/>
    <w:pPr>
      <w:tabs>
        <w:tab w:val="center" w:pos="4680"/>
        <w:tab w:val="right" w:pos="9360"/>
      </w:tabs>
      <w:spacing w:after="0"/>
    </w:pPr>
  </w:style>
  <w:style w:type="character" w:customStyle="1" w:styleId="HeaderChar">
    <w:name w:val="Header Char"/>
    <w:basedOn w:val="DefaultParagraphFont"/>
    <w:link w:val="Header"/>
    <w:uiPriority w:val="99"/>
    <w:semiHidden/>
    <w:rsid w:val="00605119"/>
  </w:style>
  <w:style w:type="paragraph" w:styleId="Footer">
    <w:name w:val="footer"/>
    <w:basedOn w:val="Normal"/>
    <w:link w:val="FooterChar"/>
    <w:uiPriority w:val="99"/>
    <w:unhideWhenUsed/>
    <w:rsid w:val="00605119"/>
    <w:pPr>
      <w:tabs>
        <w:tab w:val="center" w:pos="4680"/>
        <w:tab w:val="right" w:pos="9360"/>
      </w:tabs>
      <w:spacing w:after="0"/>
    </w:pPr>
  </w:style>
  <w:style w:type="character" w:customStyle="1" w:styleId="FooterChar">
    <w:name w:val="Footer Char"/>
    <w:basedOn w:val="DefaultParagraphFont"/>
    <w:link w:val="Footer"/>
    <w:uiPriority w:val="99"/>
    <w:rsid w:val="00605119"/>
  </w:style>
  <w:style w:type="paragraph" w:styleId="FootnoteText">
    <w:name w:val="footnote text"/>
    <w:basedOn w:val="Normal"/>
    <w:link w:val="FootnoteTextChar"/>
    <w:uiPriority w:val="99"/>
    <w:rsid w:val="00B37B72"/>
    <w:pPr>
      <w:autoSpaceDN/>
      <w:spacing w:after="0"/>
      <w:textAlignment w:val="auto"/>
    </w:pPr>
    <w:rPr>
      <w:sz w:val="20"/>
      <w:szCs w:val="20"/>
    </w:rPr>
  </w:style>
  <w:style w:type="character" w:customStyle="1" w:styleId="FootnoteTextChar1">
    <w:name w:val="Footnote Text Char1"/>
    <w:basedOn w:val="DefaultParagraphFont"/>
    <w:uiPriority w:val="99"/>
    <w:semiHidden/>
    <w:rsid w:val="00B37B72"/>
    <w:rPr>
      <w:sz w:val="20"/>
      <w:szCs w:val="20"/>
    </w:rPr>
  </w:style>
  <w:style w:type="character" w:styleId="FootnoteReference">
    <w:name w:val="footnote reference"/>
    <w:aliases w:val="fr"/>
    <w:basedOn w:val="DefaultParagraphFont"/>
    <w:uiPriority w:val="99"/>
    <w:rsid w:val="00B37B72"/>
    <w:rPr>
      <w:vertAlign w:val="superscript"/>
    </w:rPr>
  </w:style>
  <w:style w:type="paragraph" w:styleId="NormalWeb">
    <w:name w:val="Normal (Web)"/>
    <w:basedOn w:val="Normal"/>
    <w:uiPriority w:val="99"/>
    <w:semiHidden/>
    <w:unhideWhenUsed/>
    <w:rsid w:val="001107A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1754">
      <w:bodyDiv w:val="1"/>
      <w:marLeft w:val="0"/>
      <w:marRight w:val="0"/>
      <w:marTop w:val="0"/>
      <w:marBottom w:val="0"/>
      <w:divBdr>
        <w:top w:val="none" w:sz="0" w:space="0" w:color="auto"/>
        <w:left w:val="none" w:sz="0" w:space="0" w:color="auto"/>
        <w:bottom w:val="none" w:sz="0" w:space="0" w:color="auto"/>
        <w:right w:val="none" w:sz="0" w:space="0" w:color="auto"/>
      </w:divBdr>
    </w:div>
    <w:div w:id="384647698">
      <w:bodyDiv w:val="1"/>
      <w:marLeft w:val="0"/>
      <w:marRight w:val="0"/>
      <w:marTop w:val="0"/>
      <w:marBottom w:val="0"/>
      <w:divBdr>
        <w:top w:val="none" w:sz="0" w:space="0" w:color="auto"/>
        <w:left w:val="none" w:sz="0" w:space="0" w:color="auto"/>
        <w:bottom w:val="none" w:sz="0" w:space="0" w:color="auto"/>
        <w:right w:val="none" w:sz="0" w:space="0" w:color="auto"/>
      </w:divBdr>
    </w:div>
    <w:div w:id="1810130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84EA8-78C9-40CA-A8F8-C6B74A26F88F}">
  <ds:schemaRefs>
    <ds:schemaRef ds:uri="http://schemas.microsoft.com/sharepoint/events"/>
  </ds:schemaRefs>
</ds:datastoreItem>
</file>

<file path=customXml/itemProps2.xml><?xml version="1.0" encoding="utf-8"?>
<ds:datastoreItem xmlns:ds="http://schemas.openxmlformats.org/officeDocument/2006/customXml" ds:itemID="{4A743D65-3625-4484-9955-EDD808956846}"/>
</file>

<file path=customXml/itemProps3.xml><?xml version="1.0" encoding="utf-8"?>
<ds:datastoreItem xmlns:ds="http://schemas.openxmlformats.org/officeDocument/2006/customXml" ds:itemID="{41BAAC2B-F076-4CA1-9B8E-AAE3B61130A3}">
  <ds:schemaRefs>
    <ds:schemaRef ds:uri="http://schemas.openxmlformats.org/officeDocument/2006/bibliography"/>
  </ds:schemaRefs>
</ds:datastoreItem>
</file>

<file path=customXml/itemProps4.xml><?xml version="1.0" encoding="utf-8"?>
<ds:datastoreItem xmlns:ds="http://schemas.openxmlformats.org/officeDocument/2006/customXml" ds:itemID="{582A699B-917C-4A4A-8DCA-2F6E101232D8}">
  <ds:schemaRefs>
    <ds:schemaRef ds:uri="http://www.w3.org/XML/1998/namespace"/>
    <ds:schemaRef ds:uri="http://purl.org/dc/terms/"/>
    <ds:schemaRef ds:uri="0e2507f1-1fab-4f1f-8c5d-2dd5baf9006a"/>
    <ds:schemaRef ds:uri="http://schemas.microsoft.com/office/2006/documentManagement/types"/>
    <ds:schemaRef ds:uri="http://schemas.microsoft.com/office/2006/metadata/properties"/>
    <ds:schemaRef ds:uri="http://purl.org/dc/elements/1.1/"/>
    <ds:schemaRef ds:uri="12e0826c-40f2-47bd-b519-bbb4da682c2c"/>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D6585D9F-A32C-4ADD-A6C7-430467D3BD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1040</Words>
  <Characters>5931</Characters>
  <Application>Microsoft Office Word</Application>
  <DocSecurity>0</DocSecurity>
  <Lines>49</Lines>
  <Paragraphs>13</Paragraphs>
  <ScaleCrop>false</ScaleCrop>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docId:4489B6A04B772E3A88E1DA10D1EE19B6</cp:keywords>
  <dc:description/>
  <cp:lastModifiedBy>Ugnė Andriuškevičiūtė</cp:lastModifiedBy>
  <cp:revision>164</cp:revision>
  <dcterms:created xsi:type="dcterms:W3CDTF">2024-08-14T01:40:00Z</dcterms:created>
  <dcterms:modified xsi:type="dcterms:W3CDTF">2025-03-11T21:53:00Z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2021-06-28T13:37:35Z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8ac0421e-19a5-4564-921e-65f6efe4a60f</vt:lpwstr>
  </property>
  <property fmtid="{D5CDD505-2E9C-101B-9397-08002B2CF9AE}" pid="8" name="MSIP_Label_cfcb905c-755b-4fd4-bd20-0d682d4f1d27_ContentBits">
    <vt:lpwstr>0</vt:lpwstr>
  </property>
  <property fmtid="{D5CDD505-2E9C-101B-9397-08002B2CF9AE}" pid="9" name="ContentTypeId">
    <vt:lpwstr>0x01010018BB21E22CC0A142A2436D9B55ACD758</vt:lpwstr>
  </property>
  <property fmtid="{D5CDD505-2E9C-101B-9397-08002B2CF9AE}" pid="10" name="_dlc_DocIdItemGuid">
    <vt:lpwstr>d3490367-d3f2-4031-870e-a353110123d6</vt:lpwstr>
  </property>
  <property fmtid="{D5CDD505-2E9C-101B-9397-08002B2CF9AE}" pid="11" name="MediaServiceImageTags">
    <vt:lpwstr/>
  </property>
</Properties>
</file>